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77165" w14:textId="77777777" w:rsidR="00E17415" w:rsidRPr="009D04F2" w:rsidRDefault="00E17415" w:rsidP="00E17415">
      <w:pPr>
        <w:pStyle w:val="Encabezado"/>
        <w:tabs>
          <w:tab w:val="clear" w:pos="4320"/>
          <w:tab w:val="clear" w:pos="8640"/>
          <w:tab w:val="left" w:pos="3703"/>
        </w:tabs>
        <w:jc w:val="left"/>
        <w:rPr>
          <w:rFonts w:ascii="Verdana" w:hAnsi="Verdana" w:cs="Arial"/>
          <w:i/>
          <w:iCs/>
          <w:sz w:val="22"/>
          <w:szCs w:val="22"/>
          <w:lang w:val="es-ES"/>
        </w:rPr>
      </w:pPr>
      <w:bookmarkStart w:id="0" w:name="_Hlk22915939"/>
    </w:p>
    <w:p w14:paraId="1775F707" w14:textId="3D8D2581" w:rsidR="00E17415" w:rsidRPr="00525721" w:rsidRDefault="00E17415" w:rsidP="00E17415">
      <w:pPr>
        <w:pStyle w:val="Encabezado"/>
        <w:tabs>
          <w:tab w:val="clear" w:pos="4320"/>
          <w:tab w:val="clear" w:pos="8640"/>
        </w:tabs>
        <w:jc w:val="center"/>
        <w:rPr>
          <w:rFonts w:ascii="Verdana" w:hAnsi="Verdana" w:cs="Arial"/>
          <w:i/>
          <w:iCs/>
          <w:sz w:val="22"/>
          <w:szCs w:val="22"/>
          <w:lang w:val="es-ES"/>
        </w:rPr>
      </w:pPr>
      <w:r w:rsidRPr="00525721">
        <w:rPr>
          <w:rFonts w:ascii="Verdana" w:hAnsi="Verdana" w:cs="Arial"/>
          <w:i/>
          <w:iCs/>
          <w:sz w:val="22"/>
          <w:szCs w:val="22"/>
          <w:lang w:val="es-ES"/>
        </w:rPr>
        <w:t>“</w:t>
      </w:r>
      <w:r w:rsidRPr="00525721">
        <w:rPr>
          <w:rFonts w:ascii="Verdana" w:hAnsi="Verdana" w:cs="Arial"/>
          <w:i/>
          <w:iCs/>
          <w:sz w:val="22"/>
          <w:szCs w:val="22"/>
        </w:rPr>
        <w:t xml:space="preserve">Por la cual se adopta la versión </w:t>
      </w:r>
      <w:r w:rsidRPr="00525721">
        <w:rPr>
          <w:rFonts w:ascii="Verdana" w:eastAsia="Symbol" w:hAnsi="Verdana" w:cs="Symbol"/>
          <w:i/>
          <w:iCs/>
          <w:sz w:val="22"/>
          <w:szCs w:val="22"/>
        </w:rPr>
        <w:t>-</w:t>
      </w:r>
      <w:r w:rsidRPr="00525721">
        <w:rPr>
          <w:rFonts w:ascii="Verdana" w:hAnsi="Verdana" w:cs="Arial"/>
          <w:i/>
          <w:iCs/>
          <w:sz w:val="22"/>
          <w:szCs w:val="22"/>
        </w:rPr>
        <w:t xml:space="preserve"> 2 de los documentos tipo para los procesos de </w:t>
      </w:r>
      <w:r w:rsidR="007F5834" w:rsidRPr="00525721">
        <w:rPr>
          <w:rFonts w:ascii="Verdana" w:hAnsi="Verdana" w:cs="Arial"/>
          <w:i/>
          <w:iCs/>
          <w:sz w:val="22"/>
          <w:szCs w:val="22"/>
        </w:rPr>
        <w:t>concurso de méritos para contratar la interventoría de obras públicas de infraestructura social</w:t>
      </w:r>
      <w:r w:rsidR="008F7E91" w:rsidRPr="00525721">
        <w:rPr>
          <w:rFonts w:ascii="Verdana" w:hAnsi="Verdana" w:cs="Arial"/>
          <w:i/>
          <w:iCs/>
          <w:sz w:val="22"/>
          <w:szCs w:val="22"/>
        </w:rPr>
        <w:t>; que agrupa los sectores de educación, salud, cultura, recreación y deporte</w:t>
      </w:r>
      <w:r w:rsidR="004B26DB">
        <w:rPr>
          <w:rFonts w:ascii="Verdana" w:hAnsi="Verdana" w:cs="Arial"/>
          <w:i/>
          <w:iCs/>
          <w:sz w:val="22"/>
          <w:szCs w:val="22"/>
          <w:lang w:val="es-ES"/>
        </w:rPr>
        <w:t>, institucional y vivienda”</w:t>
      </w:r>
    </w:p>
    <w:p w14:paraId="23927806" w14:textId="77777777" w:rsidR="00E17415" w:rsidRDefault="00E17415" w:rsidP="00E17415">
      <w:pPr>
        <w:pStyle w:val="Encabezado"/>
        <w:tabs>
          <w:tab w:val="clear" w:pos="4320"/>
          <w:tab w:val="clear" w:pos="8640"/>
        </w:tabs>
        <w:jc w:val="center"/>
        <w:rPr>
          <w:rFonts w:ascii="Verdana" w:hAnsi="Verdana" w:cs="Arial"/>
          <w:i/>
          <w:iCs/>
          <w:sz w:val="22"/>
          <w:szCs w:val="22"/>
          <w:lang w:val="es-ES"/>
        </w:rPr>
      </w:pPr>
    </w:p>
    <w:p w14:paraId="7EBB51B5" w14:textId="77777777" w:rsidR="00715C65" w:rsidRPr="00525721" w:rsidRDefault="00715C65" w:rsidP="00E17415">
      <w:pPr>
        <w:pStyle w:val="Encabezado"/>
        <w:tabs>
          <w:tab w:val="clear" w:pos="4320"/>
          <w:tab w:val="clear" w:pos="8640"/>
        </w:tabs>
        <w:jc w:val="center"/>
        <w:rPr>
          <w:rFonts w:ascii="Verdana" w:hAnsi="Verdana" w:cs="Arial"/>
          <w:i/>
          <w:iCs/>
          <w:sz w:val="22"/>
          <w:szCs w:val="22"/>
          <w:lang w:val="es-ES"/>
        </w:rPr>
      </w:pPr>
    </w:p>
    <w:p w14:paraId="451345A9" w14:textId="77777777" w:rsidR="00E17415" w:rsidRPr="009D04F2" w:rsidRDefault="00E17415" w:rsidP="212BFCED">
      <w:pPr>
        <w:pStyle w:val="Encabezado"/>
        <w:tabs>
          <w:tab w:val="clear" w:pos="4320"/>
          <w:tab w:val="clear" w:pos="8640"/>
        </w:tabs>
        <w:jc w:val="center"/>
        <w:rPr>
          <w:rFonts w:ascii="Verdana" w:hAnsi="Verdana" w:cs="Arial"/>
          <w:sz w:val="22"/>
          <w:szCs w:val="22"/>
          <w:lang w:val="es-ES"/>
        </w:rPr>
      </w:pPr>
      <w:r w:rsidRPr="009D04F2">
        <w:rPr>
          <w:rFonts w:ascii="Verdana" w:hAnsi="Verdana" w:cs="Arial"/>
          <w:b/>
          <w:bCs/>
          <w:sz w:val="22"/>
          <w:szCs w:val="22"/>
          <w:lang w:val="es-ES"/>
        </w:rPr>
        <w:t xml:space="preserve">El </w:t>
      </w:r>
      <w:proofErr w:type="gramStart"/>
      <w:r w:rsidRPr="009D04F2">
        <w:rPr>
          <w:rFonts w:ascii="Verdana" w:hAnsi="Verdana" w:cs="Arial"/>
          <w:b/>
          <w:bCs/>
          <w:sz w:val="22"/>
          <w:szCs w:val="22"/>
          <w:lang w:val="es-ES"/>
        </w:rPr>
        <w:t>Director General</w:t>
      </w:r>
      <w:proofErr w:type="gramEnd"/>
      <w:r w:rsidRPr="009D04F2">
        <w:rPr>
          <w:rFonts w:ascii="Verdana" w:hAnsi="Verdana" w:cs="Arial"/>
          <w:b/>
          <w:bCs/>
          <w:sz w:val="22"/>
          <w:szCs w:val="22"/>
          <w:lang w:val="es-ES"/>
        </w:rPr>
        <w:t xml:space="preserve"> </w:t>
      </w:r>
    </w:p>
    <w:p w14:paraId="0F64492D" w14:textId="77777777" w:rsidR="00E17415" w:rsidRDefault="00E17415" w:rsidP="00E17415">
      <w:pPr>
        <w:spacing w:line="276" w:lineRule="auto"/>
        <w:rPr>
          <w:rFonts w:ascii="Verdana" w:hAnsi="Verdana" w:cs="Arial"/>
          <w:sz w:val="21"/>
          <w:szCs w:val="21"/>
        </w:rPr>
      </w:pPr>
    </w:p>
    <w:p w14:paraId="26167D95" w14:textId="77777777" w:rsidR="00715C65" w:rsidRPr="009D04F2" w:rsidRDefault="00715C65" w:rsidP="00E17415">
      <w:pPr>
        <w:spacing w:line="276" w:lineRule="auto"/>
        <w:rPr>
          <w:rFonts w:ascii="Verdana" w:hAnsi="Verdana" w:cs="Arial"/>
          <w:sz w:val="21"/>
          <w:szCs w:val="21"/>
        </w:rPr>
      </w:pPr>
    </w:p>
    <w:p w14:paraId="15580297" w14:textId="77777777" w:rsidR="00E17415" w:rsidRPr="00C60BCA" w:rsidRDefault="00E17415" w:rsidP="00E17415">
      <w:pPr>
        <w:spacing w:line="276" w:lineRule="auto"/>
        <w:jc w:val="center"/>
        <w:rPr>
          <w:rFonts w:ascii="Verdana" w:hAnsi="Verdana" w:cs="Arial"/>
          <w:sz w:val="22"/>
          <w:szCs w:val="22"/>
        </w:rPr>
      </w:pPr>
      <w:r w:rsidRPr="00C60BCA">
        <w:rPr>
          <w:rFonts w:ascii="Verdana" w:hAnsi="Verdana" w:cs="Arial"/>
          <w:sz w:val="22"/>
          <w:szCs w:val="22"/>
        </w:rPr>
        <w:t xml:space="preserve">En ejercicio de sus facultades legales y reglamentarias, en especial las que le confieren la Ley 2022 de 2020, el Decreto Ley 4170 de 2011 y  </w:t>
      </w:r>
    </w:p>
    <w:p w14:paraId="6C681A05" w14:textId="77777777" w:rsidR="00E17415" w:rsidRDefault="00E17415" w:rsidP="00E17415">
      <w:pPr>
        <w:spacing w:line="264" w:lineRule="auto"/>
        <w:jc w:val="center"/>
        <w:rPr>
          <w:rFonts w:ascii="Verdana" w:hAnsi="Verdana" w:cs="Arial"/>
          <w:b/>
          <w:sz w:val="21"/>
          <w:szCs w:val="21"/>
        </w:rPr>
      </w:pPr>
    </w:p>
    <w:p w14:paraId="736D8736" w14:textId="77777777" w:rsidR="00715C65" w:rsidRPr="009D04F2" w:rsidRDefault="00715C65" w:rsidP="00E17415">
      <w:pPr>
        <w:spacing w:line="264" w:lineRule="auto"/>
        <w:jc w:val="center"/>
        <w:rPr>
          <w:rFonts w:ascii="Verdana" w:hAnsi="Verdana" w:cs="Arial"/>
          <w:b/>
          <w:sz w:val="21"/>
          <w:szCs w:val="21"/>
        </w:rPr>
      </w:pPr>
    </w:p>
    <w:p w14:paraId="70BB1060" w14:textId="77777777" w:rsidR="00E17415" w:rsidRPr="00C60BCA" w:rsidRDefault="00E17415" w:rsidP="00E17415">
      <w:pPr>
        <w:spacing w:line="264" w:lineRule="auto"/>
        <w:jc w:val="center"/>
        <w:rPr>
          <w:rFonts w:ascii="Verdana" w:hAnsi="Verdana" w:cs="Arial"/>
          <w:b/>
          <w:sz w:val="22"/>
          <w:szCs w:val="22"/>
        </w:rPr>
      </w:pPr>
      <w:r w:rsidRPr="00C60BCA">
        <w:rPr>
          <w:rFonts w:ascii="Verdana" w:hAnsi="Verdana" w:cs="Arial"/>
          <w:b/>
          <w:sz w:val="22"/>
          <w:szCs w:val="22"/>
        </w:rPr>
        <w:t>Considerando</w:t>
      </w:r>
    </w:p>
    <w:p w14:paraId="537015B4" w14:textId="77777777" w:rsidR="00E17415" w:rsidRPr="00C60BCA" w:rsidRDefault="00E17415" w:rsidP="00E17415">
      <w:pPr>
        <w:rPr>
          <w:rFonts w:ascii="Verdana" w:hAnsi="Verdana" w:cs="Arial"/>
          <w:sz w:val="22"/>
          <w:szCs w:val="22"/>
        </w:rPr>
      </w:pPr>
    </w:p>
    <w:p w14:paraId="0DFD8AB6" w14:textId="77777777" w:rsidR="00E17415" w:rsidRPr="00C60BCA" w:rsidRDefault="00E17415" w:rsidP="00E17415">
      <w:pPr>
        <w:spacing w:line="276" w:lineRule="auto"/>
        <w:jc w:val="both"/>
        <w:rPr>
          <w:rFonts w:ascii="Verdana" w:hAnsi="Verdana" w:cs="Arial"/>
          <w:sz w:val="22"/>
          <w:szCs w:val="22"/>
        </w:rPr>
      </w:pPr>
      <w:r w:rsidRPr="00C60BCA">
        <w:rPr>
          <w:rFonts w:ascii="Verdana" w:hAnsi="Verdana" w:cs="Arial"/>
          <w:sz w:val="22"/>
          <w:szCs w:val="22"/>
        </w:rPr>
        <w:t>Que el Decreto Ley 4170 de 2011 creó la Agencia Nacional de Contratación Pública – Colombia Compra Eficiente, entidad adscrita al Departamento Nacional de Planeación, como ente rector de la contratación pública, la cual tiene por objetivo desarrollar e impulsar políticas y herramientas orientadas a la organización y articulación de los participantes en los procesos de compras y contratación, con el fin de lograr una mayor eficiencia, transparencia y optimización de los recursos del Estado.</w:t>
      </w:r>
    </w:p>
    <w:p w14:paraId="52BF264F" w14:textId="77777777" w:rsidR="00E17415" w:rsidRPr="00C60BCA" w:rsidRDefault="00E17415" w:rsidP="00E17415">
      <w:pPr>
        <w:spacing w:line="276" w:lineRule="auto"/>
        <w:jc w:val="both"/>
        <w:rPr>
          <w:rFonts w:ascii="Verdana" w:hAnsi="Verdana" w:cs="Arial"/>
          <w:sz w:val="22"/>
          <w:szCs w:val="22"/>
        </w:rPr>
      </w:pPr>
    </w:p>
    <w:p w14:paraId="0A2D7567" w14:textId="77777777" w:rsidR="00E17415" w:rsidRPr="00C60BCA" w:rsidRDefault="00E17415" w:rsidP="00E17415">
      <w:pPr>
        <w:spacing w:line="276" w:lineRule="auto"/>
        <w:jc w:val="both"/>
        <w:rPr>
          <w:rFonts w:ascii="Verdana" w:eastAsia="Arial" w:hAnsi="Verdana" w:cs="Arial"/>
          <w:i/>
          <w:iCs/>
          <w:sz w:val="22"/>
          <w:szCs w:val="22"/>
        </w:rPr>
      </w:pPr>
      <w:r w:rsidRPr="00C60BCA">
        <w:rPr>
          <w:rFonts w:ascii="Verdana" w:eastAsia="Arial" w:hAnsi="Verdana" w:cs="Arial"/>
          <w:sz w:val="22"/>
          <w:szCs w:val="22"/>
        </w:rPr>
        <w:t xml:space="preserve">Que </w:t>
      </w:r>
      <w:r w:rsidRPr="00C60BCA">
        <w:rPr>
          <w:rFonts w:ascii="Verdana" w:hAnsi="Verdana" w:cs="Arial"/>
          <w:sz w:val="22"/>
          <w:szCs w:val="22"/>
        </w:rPr>
        <w:t>el numeral 2 del artículo 3 del Decreto – Ley</w:t>
      </w:r>
      <w:r w:rsidRPr="00C60BCA">
        <w:rPr>
          <w:rFonts w:ascii="Verdana" w:eastAsia="Arial" w:hAnsi="Verdana" w:cs="Arial"/>
          <w:sz w:val="22"/>
          <w:szCs w:val="22"/>
        </w:rPr>
        <w:t xml:space="preserve"> 4170 de 2011 dispuso como función de la </w:t>
      </w:r>
      <w:r w:rsidRPr="00C60BCA">
        <w:rPr>
          <w:rFonts w:ascii="Verdana" w:hAnsi="Verdana" w:cs="Arial"/>
          <w:sz w:val="22"/>
          <w:szCs w:val="22"/>
        </w:rPr>
        <w:t xml:space="preserve">Agencia Nacional de Contratación Pública – Colombia Compra Eficiente </w:t>
      </w:r>
      <w:r w:rsidRPr="00C60BCA">
        <w:rPr>
          <w:rFonts w:ascii="Verdana" w:eastAsia="Arial" w:hAnsi="Verdana" w:cs="Arial"/>
          <w:sz w:val="22"/>
          <w:szCs w:val="22"/>
        </w:rPr>
        <w:t xml:space="preserve">el </w:t>
      </w:r>
      <w:r w:rsidRPr="00C60BCA">
        <w:rPr>
          <w:rFonts w:ascii="Verdana" w:eastAsia="Arial" w:hAnsi="Verdana" w:cs="Arial"/>
          <w:i/>
          <w:iCs/>
          <w:sz w:val="22"/>
          <w:szCs w:val="22"/>
        </w:rPr>
        <w:t>“Desarrollar, implementar y difundir las políticas públicas, planes, programas, normas, instrumentos y herramientas que faciliten las compras y contratación pública del Estado y promuevan las mejores prácticas, la eficiencia, transparencia y competitividad del mismo, a fin de que se cumplan los principios y procesos generales que deben gobernar la actividad contractual de las entidades públicas”.</w:t>
      </w:r>
    </w:p>
    <w:p w14:paraId="0CFD9596" w14:textId="77777777" w:rsidR="00E17415" w:rsidRPr="00C60BCA" w:rsidRDefault="00E17415" w:rsidP="00E17415">
      <w:pPr>
        <w:spacing w:line="276" w:lineRule="auto"/>
        <w:jc w:val="both"/>
        <w:rPr>
          <w:rFonts w:ascii="Verdana" w:hAnsi="Verdana" w:cs="Arial"/>
          <w:sz w:val="22"/>
          <w:szCs w:val="22"/>
        </w:rPr>
      </w:pPr>
    </w:p>
    <w:p w14:paraId="77605290" w14:textId="77777777" w:rsidR="00E17415" w:rsidRPr="00C60BCA" w:rsidRDefault="00E17415" w:rsidP="00E17415">
      <w:pPr>
        <w:spacing w:line="276" w:lineRule="auto"/>
        <w:jc w:val="both"/>
        <w:rPr>
          <w:rFonts w:ascii="Verdana" w:hAnsi="Verdana" w:cs="Arial"/>
          <w:sz w:val="22"/>
          <w:szCs w:val="22"/>
        </w:rPr>
      </w:pPr>
      <w:r w:rsidRPr="00C60BCA">
        <w:rPr>
          <w:rFonts w:ascii="Verdana" w:hAnsi="Verdana" w:cs="Arial"/>
          <w:sz w:val="22"/>
          <w:szCs w:val="22"/>
        </w:rPr>
        <w:t>Que el artículo 11° del Decreto-Ley 4170 de 2011 establece que una de las funciones de la Agencia Nacional de Contratación Pública – Colombia Compra Eficiente es desarrollar e implementar estándares y documentos tipo para las diferentes etapas de la gestión contractual pública y las demás funciones que se le designen.</w:t>
      </w:r>
    </w:p>
    <w:p w14:paraId="454C4B8F" w14:textId="77777777" w:rsidR="00E17415" w:rsidRPr="00C60BCA" w:rsidRDefault="00E17415" w:rsidP="00E17415">
      <w:pPr>
        <w:spacing w:line="276" w:lineRule="auto"/>
        <w:jc w:val="both"/>
        <w:rPr>
          <w:rFonts w:ascii="Verdana" w:hAnsi="Verdana" w:cs="Arial"/>
          <w:sz w:val="22"/>
          <w:szCs w:val="22"/>
        </w:rPr>
      </w:pPr>
    </w:p>
    <w:p w14:paraId="1AFB807F" w14:textId="77777777" w:rsidR="00E17415" w:rsidRPr="00C60BCA" w:rsidRDefault="00E17415" w:rsidP="00E17415">
      <w:pPr>
        <w:spacing w:line="276" w:lineRule="auto"/>
        <w:jc w:val="both"/>
        <w:rPr>
          <w:rFonts w:ascii="Verdana" w:hAnsi="Verdana" w:cs="Arial"/>
          <w:sz w:val="22"/>
          <w:szCs w:val="22"/>
        </w:rPr>
      </w:pPr>
      <w:r w:rsidRPr="00C60BCA">
        <w:rPr>
          <w:rFonts w:ascii="Verdana" w:hAnsi="Verdana" w:cs="Arial"/>
          <w:sz w:val="22"/>
          <w:szCs w:val="22"/>
        </w:rPr>
        <w:t xml:space="preserve">Que el artículo 1 de la Ley 2022 de 2020, por la cual se modifica el artículo 4 de la Ley 1882 de 2018, otorgó a la Agencia Nacional de Contratación Pública – Colombia Compra Eficiente la competencia para adoptar documentos tipo que serán de obligatorio cumplimiento en la actividad contractual de todas las entidades sometidas al Estatuto General de Contratación de la Administración Pública. </w:t>
      </w:r>
    </w:p>
    <w:p w14:paraId="3D7D4FEB" w14:textId="77777777" w:rsidR="00E17415" w:rsidRPr="00C60BCA" w:rsidRDefault="00E17415" w:rsidP="00E17415">
      <w:pPr>
        <w:spacing w:line="276" w:lineRule="auto"/>
        <w:jc w:val="both"/>
        <w:rPr>
          <w:rFonts w:ascii="Verdana" w:hAnsi="Verdana" w:cs="Arial"/>
          <w:sz w:val="22"/>
          <w:szCs w:val="22"/>
        </w:rPr>
      </w:pPr>
    </w:p>
    <w:p w14:paraId="0B6FC4AA" w14:textId="77777777" w:rsidR="00E17415" w:rsidRPr="00C60BCA" w:rsidRDefault="00E17415" w:rsidP="00E17415">
      <w:pPr>
        <w:spacing w:line="276" w:lineRule="auto"/>
        <w:jc w:val="both"/>
        <w:rPr>
          <w:rFonts w:ascii="Verdana" w:eastAsia="Arial" w:hAnsi="Verdana" w:cs="Arial"/>
          <w:i/>
          <w:iCs/>
          <w:sz w:val="22"/>
          <w:szCs w:val="22"/>
        </w:rPr>
      </w:pPr>
      <w:r w:rsidRPr="00C60BCA">
        <w:rPr>
          <w:rFonts w:ascii="Verdana" w:hAnsi="Verdana" w:cs="Arial"/>
          <w:sz w:val="22"/>
          <w:szCs w:val="22"/>
        </w:rPr>
        <w:t>Que el artículo en cita indicó que en los documentos tipo la Agencia Nacional de Contratación Pública – Colombia Compra Eficiente incluiría</w:t>
      </w:r>
      <w:r w:rsidRPr="00C60BCA">
        <w:rPr>
          <w:rFonts w:ascii="Verdana" w:eastAsia="Arial" w:hAnsi="Verdana" w:cs="Arial"/>
          <w:sz w:val="22"/>
          <w:szCs w:val="22"/>
        </w:rPr>
        <w:t xml:space="preserve"> requisitos habilitantes, factores técnicos, económicos y otros factores de escogencia, así como aquellos requisitos que, previa justificación, representen buenas prácticas contractuales que procuren el adecuado desarrollo de los principios que rigen la contratación pública.</w:t>
      </w:r>
      <w:r w:rsidRPr="00C60BCA">
        <w:rPr>
          <w:rFonts w:ascii="Verdana" w:hAnsi="Verdana" w:cs="Arial"/>
          <w:sz w:val="22"/>
          <w:szCs w:val="22"/>
        </w:rPr>
        <w:t xml:space="preserve"> </w:t>
      </w:r>
    </w:p>
    <w:p w14:paraId="59D85C83" w14:textId="77777777" w:rsidR="00E17415" w:rsidRPr="00C60BCA" w:rsidRDefault="00E17415" w:rsidP="00E17415">
      <w:pPr>
        <w:spacing w:line="276" w:lineRule="auto"/>
        <w:jc w:val="both"/>
        <w:rPr>
          <w:rFonts w:ascii="Verdana" w:hAnsi="Verdana" w:cs="Arial"/>
          <w:sz w:val="22"/>
          <w:szCs w:val="22"/>
        </w:rPr>
      </w:pPr>
    </w:p>
    <w:p w14:paraId="5C61F49D" w14:textId="77777777" w:rsidR="00E17415" w:rsidRPr="00C60BCA" w:rsidRDefault="00E17415" w:rsidP="00E17415">
      <w:pPr>
        <w:spacing w:line="276" w:lineRule="auto"/>
        <w:jc w:val="both"/>
        <w:rPr>
          <w:rFonts w:ascii="Verdana" w:hAnsi="Verdana" w:cs="Arial"/>
          <w:sz w:val="22"/>
          <w:szCs w:val="22"/>
        </w:rPr>
      </w:pPr>
      <w:r w:rsidRPr="00C60BCA">
        <w:rPr>
          <w:rFonts w:ascii="Verdana" w:eastAsia="Arial" w:hAnsi="Verdana"/>
          <w:sz w:val="22"/>
          <w:szCs w:val="22"/>
        </w:rPr>
        <w:t xml:space="preserve">Que los documentos tipo buscan incrementar la pluralidad de oferentes, simplificar los trámites de contratación estatal, reducir los tiempos de preparación de ofertas y </w:t>
      </w:r>
      <w:r w:rsidRPr="00C60BCA">
        <w:rPr>
          <w:rFonts w:ascii="Verdana" w:eastAsia="Arial" w:hAnsi="Verdana"/>
          <w:sz w:val="22"/>
          <w:szCs w:val="22"/>
        </w:rPr>
        <w:lastRenderedPageBreak/>
        <w:t>de estructuración de los procesos, además utilizar documentación clara e integrada que se adapte a las necesidades de las Entidades Estatales. Por otro lado, buscan reducir la posibilidad de direccionamiento en la adjudicación, incrementar la transparencia y disminuir el riesgo de colusión al establecer condiciones uniformes, sin que sea posible direccionar procesos de contratación a proponentes determinados.</w:t>
      </w:r>
    </w:p>
    <w:p w14:paraId="480A44FF" w14:textId="77777777" w:rsidR="00E17415" w:rsidRPr="00C60BCA" w:rsidRDefault="00E17415" w:rsidP="00E17415">
      <w:pPr>
        <w:spacing w:line="276" w:lineRule="auto"/>
        <w:jc w:val="both"/>
        <w:rPr>
          <w:rFonts w:ascii="Verdana" w:hAnsi="Verdana" w:cs="Arial"/>
          <w:sz w:val="22"/>
          <w:szCs w:val="22"/>
        </w:rPr>
      </w:pPr>
    </w:p>
    <w:p w14:paraId="4D05D46F" w14:textId="7E905A8B" w:rsidR="00825E89" w:rsidRDefault="00E17415" w:rsidP="00825E89">
      <w:pPr>
        <w:spacing w:line="276" w:lineRule="auto"/>
        <w:jc w:val="both"/>
        <w:rPr>
          <w:rFonts w:ascii="Verdana" w:hAnsi="Verdana" w:cs="Arial"/>
          <w:sz w:val="22"/>
          <w:szCs w:val="22"/>
        </w:rPr>
      </w:pPr>
      <w:r w:rsidRPr="00C60BCA">
        <w:rPr>
          <w:rFonts w:ascii="Verdana" w:hAnsi="Verdana" w:cs="Arial"/>
          <w:sz w:val="22"/>
          <w:szCs w:val="22"/>
        </w:rPr>
        <w:t xml:space="preserve">Que mediante la Resolución </w:t>
      </w:r>
      <w:r w:rsidR="00825E89" w:rsidRPr="00C60BCA">
        <w:rPr>
          <w:rFonts w:ascii="Verdana" w:hAnsi="Verdana" w:cs="Arial"/>
          <w:sz w:val="22"/>
          <w:szCs w:val="22"/>
        </w:rPr>
        <w:t xml:space="preserve">798 del 29 de diciembre de 2023, la Agencia Nacional de Contratación Pública </w:t>
      </w:r>
      <w:r w:rsidR="00825E89" w:rsidRPr="00C60BCA">
        <w:rPr>
          <w:rFonts w:ascii="Verdana" w:eastAsia="Symbol" w:hAnsi="Verdana" w:cs="Symbol"/>
          <w:sz w:val="22"/>
          <w:szCs w:val="22"/>
        </w:rPr>
        <w:t>-</w:t>
      </w:r>
      <w:r w:rsidR="00825E89" w:rsidRPr="00C60BCA">
        <w:rPr>
          <w:rFonts w:ascii="Verdana" w:hAnsi="Verdana" w:cs="Arial"/>
          <w:sz w:val="22"/>
          <w:szCs w:val="22"/>
        </w:rPr>
        <w:t xml:space="preserve"> Colombia Compra Eficiente adoptó los documentos tipo </w:t>
      </w:r>
      <w:r w:rsidR="009F2755" w:rsidRPr="00C60BCA">
        <w:rPr>
          <w:rFonts w:ascii="Verdana" w:hAnsi="Verdana" w:cs="Arial"/>
          <w:sz w:val="22"/>
          <w:szCs w:val="22"/>
        </w:rPr>
        <w:t xml:space="preserve">para los procesos de concurso de méritos para contratar la interventoría de obras públicas de infraestructura social </w:t>
      </w:r>
      <w:r w:rsidR="009F2755" w:rsidRPr="00C60BCA">
        <w:rPr>
          <w:rFonts w:ascii="Verdana" w:eastAsia="Symbol" w:hAnsi="Verdana" w:cs="Symbol"/>
          <w:sz w:val="22"/>
          <w:szCs w:val="22"/>
        </w:rPr>
        <w:t>-</w:t>
      </w:r>
      <w:r w:rsidR="009F2755" w:rsidRPr="00C60BCA">
        <w:rPr>
          <w:rFonts w:ascii="Verdana" w:hAnsi="Verdana" w:cs="Arial"/>
          <w:sz w:val="22"/>
          <w:szCs w:val="22"/>
        </w:rPr>
        <w:t xml:space="preserve"> versión 1, que agrupa los </w:t>
      </w:r>
      <w:r w:rsidR="0000692A" w:rsidRPr="00C60BCA">
        <w:rPr>
          <w:rFonts w:ascii="Verdana" w:hAnsi="Verdana" w:cs="Arial"/>
          <w:sz w:val="22"/>
          <w:szCs w:val="22"/>
        </w:rPr>
        <w:t>sectores de educación, salud, cultura, recreación y deporte</w:t>
      </w:r>
      <w:r w:rsidR="00595943">
        <w:rPr>
          <w:rFonts w:ascii="Verdana" w:hAnsi="Verdana" w:cs="Arial"/>
          <w:sz w:val="22"/>
          <w:szCs w:val="22"/>
        </w:rPr>
        <w:t>.</w:t>
      </w:r>
    </w:p>
    <w:p w14:paraId="7696C620" w14:textId="77777777" w:rsidR="00595943" w:rsidRDefault="00595943" w:rsidP="00825E89">
      <w:pPr>
        <w:spacing w:line="276" w:lineRule="auto"/>
        <w:jc w:val="both"/>
        <w:rPr>
          <w:rFonts w:ascii="Verdana" w:hAnsi="Verdana" w:cs="Arial"/>
          <w:sz w:val="22"/>
          <w:szCs w:val="22"/>
        </w:rPr>
      </w:pPr>
    </w:p>
    <w:p w14:paraId="13B9B353" w14:textId="77777777" w:rsidR="008143CA" w:rsidRPr="00C60BCA" w:rsidRDefault="008143CA" w:rsidP="008143CA">
      <w:pPr>
        <w:spacing w:line="276" w:lineRule="auto"/>
        <w:jc w:val="both"/>
        <w:rPr>
          <w:rFonts w:ascii="Verdana" w:hAnsi="Verdana" w:cs="Arial"/>
          <w:sz w:val="22"/>
          <w:szCs w:val="22"/>
        </w:rPr>
      </w:pPr>
      <w:r w:rsidRPr="00C60BCA">
        <w:rPr>
          <w:rFonts w:ascii="Verdana" w:hAnsi="Verdana" w:cs="Arial"/>
          <w:sz w:val="22"/>
          <w:szCs w:val="22"/>
        </w:rPr>
        <w:t xml:space="preserve">Que el artículo primero de la Ley 2022 de 2020 dispone que la Agencia Nacional de Contratación Pública </w:t>
      </w:r>
      <w:r w:rsidRPr="00C60BCA">
        <w:rPr>
          <w:rFonts w:ascii="Verdana" w:eastAsia="Symbol" w:hAnsi="Verdana" w:cs="Symbol"/>
          <w:sz w:val="22"/>
          <w:szCs w:val="22"/>
        </w:rPr>
        <w:t>-</w:t>
      </w:r>
      <w:r w:rsidRPr="00C60BCA">
        <w:rPr>
          <w:rFonts w:ascii="Verdana" w:hAnsi="Verdana" w:cs="Arial"/>
          <w:sz w:val="22"/>
          <w:szCs w:val="22"/>
        </w:rPr>
        <w:t xml:space="preserve"> Colombia Compra Eficiente, establecerá un sistema para la revisión constante de los documentos tipo que sean expedidos por esta Entidad Estatal. </w:t>
      </w:r>
    </w:p>
    <w:p w14:paraId="56212B3A" w14:textId="77777777" w:rsidR="008143CA" w:rsidRPr="00C60BCA" w:rsidRDefault="008143CA" w:rsidP="008143CA">
      <w:pPr>
        <w:spacing w:line="276" w:lineRule="auto"/>
        <w:jc w:val="both"/>
        <w:rPr>
          <w:rFonts w:ascii="Verdana" w:hAnsi="Verdana" w:cs="Arial"/>
          <w:sz w:val="22"/>
          <w:szCs w:val="22"/>
        </w:rPr>
      </w:pPr>
    </w:p>
    <w:p w14:paraId="51843320" w14:textId="77777777" w:rsidR="008143CA" w:rsidRDefault="008143CA" w:rsidP="008143CA">
      <w:pPr>
        <w:spacing w:line="276" w:lineRule="auto"/>
        <w:jc w:val="both"/>
        <w:rPr>
          <w:rFonts w:ascii="Verdana" w:hAnsi="Verdana" w:cs="Arial"/>
          <w:sz w:val="22"/>
          <w:szCs w:val="22"/>
        </w:rPr>
      </w:pPr>
      <w:r w:rsidRPr="00C60BCA">
        <w:rPr>
          <w:rFonts w:ascii="Verdana" w:hAnsi="Verdana" w:cs="Arial"/>
          <w:sz w:val="22"/>
          <w:szCs w:val="22"/>
        </w:rPr>
        <w:t xml:space="preserve">Que el artículo 11 de la Resolución 160 del 15 de septiembre de 2020, expedida por la Agencia Nacional de Contratación Pública, establece que ante el cambio de circunstancias fácticas o jurídicas sobre las cuales se sustentó la adopción de los documentos tipo o la identificación de necesidades cambiantes en la elaboración o su implementación, procederá a realizar su revisión y adoptará las modificaciones a que haya lugar mediante acto administrativo motivado. </w:t>
      </w:r>
    </w:p>
    <w:p w14:paraId="15DD238E" w14:textId="77777777" w:rsidR="0071221A" w:rsidRDefault="0071221A" w:rsidP="00825E89">
      <w:pPr>
        <w:spacing w:line="276" w:lineRule="auto"/>
        <w:jc w:val="both"/>
        <w:rPr>
          <w:rFonts w:ascii="Verdana" w:hAnsi="Verdana" w:cs="Arial"/>
          <w:sz w:val="22"/>
          <w:szCs w:val="22"/>
        </w:rPr>
      </w:pPr>
    </w:p>
    <w:p w14:paraId="1CF843A1" w14:textId="77777777" w:rsidR="00C6116D" w:rsidRPr="00C60BCA" w:rsidRDefault="00C6116D" w:rsidP="00C6116D">
      <w:pPr>
        <w:spacing w:line="276" w:lineRule="auto"/>
        <w:jc w:val="both"/>
        <w:rPr>
          <w:rFonts w:ascii="Verdana" w:hAnsi="Verdana" w:cs="Arial"/>
          <w:sz w:val="22"/>
          <w:szCs w:val="22"/>
        </w:rPr>
      </w:pPr>
      <w:r w:rsidRPr="00C60BCA">
        <w:rPr>
          <w:rFonts w:ascii="Verdana" w:hAnsi="Verdana" w:cs="Arial"/>
          <w:sz w:val="22"/>
          <w:szCs w:val="22"/>
        </w:rPr>
        <w:t xml:space="preserve">Que desde la fecha a partir de la cual entró en vigencia los documentos tipo para los procesos de concurso de méritos para contratar la interventoría de obras públicas de infraestructura social </w:t>
      </w:r>
      <w:r w:rsidRPr="00C60BCA">
        <w:rPr>
          <w:rFonts w:ascii="Verdana" w:eastAsia="Symbol" w:hAnsi="Verdana" w:cs="Symbol"/>
          <w:sz w:val="22"/>
          <w:szCs w:val="22"/>
        </w:rPr>
        <w:t>-</w:t>
      </w:r>
      <w:r w:rsidRPr="00C60BCA">
        <w:rPr>
          <w:rFonts w:ascii="Verdana" w:hAnsi="Verdana" w:cs="Arial"/>
          <w:sz w:val="22"/>
          <w:szCs w:val="22"/>
        </w:rPr>
        <w:t xml:space="preserve"> Versión 1; que agrupan los sectores de educación, salud, cultura, recreación y deporte, la Agencia Nacional de Contratación Pública </w:t>
      </w:r>
      <w:r w:rsidRPr="00C60BCA">
        <w:rPr>
          <w:rFonts w:ascii="Verdana" w:eastAsia="Symbol" w:hAnsi="Verdana" w:cs="Symbol"/>
          <w:sz w:val="22"/>
          <w:szCs w:val="22"/>
        </w:rPr>
        <w:t>-</w:t>
      </w:r>
      <w:r w:rsidRPr="00C60BCA">
        <w:rPr>
          <w:rFonts w:ascii="Verdana" w:hAnsi="Verdana" w:cs="Arial"/>
          <w:sz w:val="22"/>
          <w:szCs w:val="22"/>
        </w:rPr>
        <w:t xml:space="preserve"> Colombia Compra Eficiente ha identificado, en colaboración con entidades, agremiaciones y ciudadanos, aspectos en esos documentos tipo que deben ser actualizados y modificados, con el fin de fortalecerlos y adaptarlos a la realidad de la contratación del país.</w:t>
      </w:r>
    </w:p>
    <w:p w14:paraId="7B47475C" w14:textId="77777777" w:rsidR="00C6116D" w:rsidRPr="00C60BCA" w:rsidRDefault="00C6116D" w:rsidP="00C6116D">
      <w:pPr>
        <w:spacing w:line="276" w:lineRule="auto"/>
        <w:jc w:val="both"/>
        <w:rPr>
          <w:rFonts w:ascii="Verdana" w:hAnsi="Verdana" w:cs="Arial"/>
          <w:sz w:val="22"/>
          <w:szCs w:val="22"/>
        </w:rPr>
      </w:pPr>
    </w:p>
    <w:p w14:paraId="0EA8A4D3" w14:textId="136DD321" w:rsidR="00D31F4E" w:rsidRPr="00C60BCA" w:rsidRDefault="00C6116D" w:rsidP="00D31F4E">
      <w:pPr>
        <w:spacing w:line="276" w:lineRule="auto"/>
        <w:jc w:val="both"/>
        <w:rPr>
          <w:rFonts w:ascii="Verdana" w:hAnsi="Verdana" w:cs="Arial"/>
          <w:sz w:val="22"/>
          <w:szCs w:val="22"/>
        </w:rPr>
      </w:pPr>
      <w:r w:rsidRPr="00C60BCA">
        <w:rPr>
          <w:rFonts w:ascii="Verdana" w:hAnsi="Verdana" w:cs="Arial"/>
          <w:sz w:val="22"/>
          <w:szCs w:val="22"/>
        </w:rPr>
        <w:t>Que</w:t>
      </w:r>
      <w:r w:rsidR="454B003F" w:rsidRPr="7BFFFFE3">
        <w:rPr>
          <w:rFonts w:ascii="Verdana" w:hAnsi="Verdana" w:cs="Arial"/>
          <w:sz w:val="22"/>
          <w:szCs w:val="22"/>
        </w:rPr>
        <w:t>,</w:t>
      </w:r>
      <w:r w:rsidRPr="00C60BCA">
        <w:rPr>
          <w:rFonts w:ascii="Verdana" w:hAnsi="Verdana" w:cs="Arial"/>
          <w:sz w:val="22"/>
          <w:szCs w:val="22"/>
        </w:rPr>
        <w:t xml:space="preserve"> en virtud de las observaciones de los ciudadanos, mesas de trabajo y el marco legal vigente, se determinó, la necesidad </w:t>
      </w:r>
      <w:r w:rsidR="00E957A4">
        <w:rPr>
          <w:rFonts w:ascii="Verdana" w:hAnsi="Verdana" w:cs="Arial"/>
          <w:sz w:val="22"/>
          <w:szCs w:val="22"/>
        </w:rPr>
        <w:t xml:space="preserve">realizar </w:t>
      </w:r>
      <w:r w:rsidR="002921DC">
        <w:rPr>
          <w:rFonts w:ascii="Verdana" w:hAnsi="Verdana" w:cs="Arial"/>
          <w:sz w:val="22"/>
          <w:szCs w:val="22"/>
        </w:rPr>
        <w:t xml:space="preserve">precisiones </w:t>
      </w:r>
      <w:r w:rsidR="002F3DAB">
        <w:rPr>
          <w:rFonts w:ascii="Verdana" w:hAnsi="Verdana" w:cs="Arial"/>
          <w:sz w:val="22"/>
          <w:szCs w:val="22"/>
        </w:rPr>
        <w:t>y comple</w:t>
      </w:r>
      <w:r w:rsidR="00153564">
        <w:rPr>
          <w:rFonts w:ascii="Verdana" w:hAnsi="Verdana" w:cs="Arial"/>
          <w:sz w:val="22"/>
          <w:szCs w:val="22"/>
        </w:rPr>
        <w:t>mentos</w:t>
      </w:r>
      <w:r w:rsidR="002F3DAB">
        <w:rPr>
          <w:rFonts w:ascii="Verdana" w:hAnsi="Verdana" w:cs="Arial"/>
          <w:sz w:val="22"/>
          <w:szCs w:val="22"/>
        </w:rPr>
        <w:t xml:space="preserve"> </w:t>
      </w:r>
      <w:r w:rsidR="002921DC">
        <w:rPr>
          <w:rFonts w:ascii="Verdana" w:hAnsi="Verdana" w:cs="Arial"/>
          <w:sz w:val="22"/>
          <w:szCs w:val="22"/>
        </w:rPr>
        <w:t xml:space="preserve">en </w:t>
      </w:r>
      <w:r w:rsidR="002F3DAB">
        <w:rPr>
          <w:rFonts w:ascii="Verdana" w:hAnsi="Verdana" w:cs="Arial"/>
          <w:sz w:val="22"/>
          <w:szCs w:val="22"/>
        </w:rPr>
        <w:t xml:space="preserve">aspectos </w:t>
      </w:r>
      <w:r w:rsidR="00A815F2">
        <w:rPr>
          <w:rFonts w:ascii="Verdana" w:hAnsi="Verdana" w:cs="Arial"/>
          <w:sz w:val="22"/>
          <w:szCs w:val="22"/>
        </w:rPr>
        <w:t>de tipo jurídico</w:t>
      </w:r>
      <w:r w:rsidR="00E957A4">
        <w:rPr>
          <w:rFonts w:ascii="Verdana" w:hAnsi="Verdana" w:cs="Arial"/>
          <w:sz w:val="22"/>
          <w:szCs w:val="22"/>
        </w:rPr>
        <w:t xml:space="preserve"> </w:t>
      </w:r>
      <w:r w:rsidR="00491F17">
        <w:rPr>
          <w:rFonts w:ascii="Verdana" w:hAnsi="Verdana" w:cs="Arial"/>
          <w:sz w:val="22"/>
          <w:szCs w:val="22"/>
        </w:rPr>
        <w:t>relacionad</w:t>
      </w:r>
      <w:r w:rsidR="002F3DAB">
        <w:rPr>
          <w:rFonts w:ascii="Verdana" w:hAnsi="Verdana" w:cs="Arial"/>
          <w:sz w:val="22"/>
          <w:szCs w:val="22"/>
        </w:rPr>
        <w:t>os</w:t>
      </w:r>
      <w:r w:rsidR="00491F17">
        <w:rPr>
          <w:rFonts w:ascii="Verdana" w:hAnsi="Verdana" w:cs="Arial"/>
          <w:sz w:val="22"/>
          <w:szCs w:val="22"/>
        </w:rPr>
        <w:t xml:space="preserve"> con requisitos habilitantes y causales de rechazo</w:t>
      </w:r>
      <w:r w:rsidR="00D31F4E">
        <w:rPr>
          <w:rFonts w:ascii="Verdana" w:hAnsi="Verdana" w:cs="Arial"/>
          <w:sz w:val="22"/>
          <w:szCs w:val="22"/>
        </w:rPr>
        <w:t xml:space="preserve"> y</w:t>
      </w:r>
      <w:r w:rsidR="00491F17">
        <w:rPr>
          <w:rFonts w:ascii="Verdana" w:hAnsi="Verdana" w:cs="Arial"/>
          <w:sz w:val="22"/>
          <w:szCs w:val="22"/>
        </w:rPr>
        <w:t xml:space="preserve"> ampliar la posibilidad de solicitar garantías </w:t>
      </w:r>
      <w:r w:rsidR="00BE2B5F">
        <w:rPr>
          <w:rFonts w:ascii="Verdana" w:hAnsi="Verdana" w:cs="Arial"/>
          <w:sz w:val="22"/>
          <w:szCs w:val="22"/>
        </w:rPr>
        <w:t>adicionales a las contenidas en el Decreto 1082 de 2015 -para la etapa contractual-</w:t>
      </w:r>
      <w:r w:rsidR="00D31F4E">
        <w:rPr>
          <w:rFonts w:ascii="Verdana" w:hAnsi="Verdana" w:cs="Arial"/>
          <w:sz w:val="22"/>
          <w:szCs w:val="22"/>
        </w:rPr>
        <w:t xml:space="preserve">, entre otros. </w:t>
      </w:r>
      <w:r w:rsidR="00D31F4E" w:rsidRPr="008869B1">
        <w:rPr>
          <w:rFonts w:ascii="Verdana" w:hAnsi="Verdana" w:cs="Arial"/>
          <w:sz w:val="22"/>
          <w:szCs w:val="22"/>
        </w:rPr>
        <w:t>Lo anterior, se encuentra detallado y justificado en el documento denominado "Memoria Justificativa".</w:t>
      </w:r>
    </w:p>
    <w:p w14:paraId="4EF56871" w14:textId="77777777" w:rsidR="00C6116D" w:rsidRPr="00C60BCA" w:rsidRDefault="00C6116D" w:rsidP="00C6116D">
      <w:pPr>
        <w:spacing w:line="276" w:lineRule="auto"/>
        <w:jc w:val="both"/>
        <w:rPr>
          <w:rFonts w:ascii="Verdana" w:hAnsi="Verdana" w:cs="Arial"/>
          <w:sz w:val="22"/>
          <w:szCs w:val="22"/>
        </w:rPr>
      </w:pPr>
    </w:p>
    <w:p w14:paraId="34A17CF2" w14:textId="77777777" w:rsidR="00EB471C" w:rsidRDefault="00C6116D" w:rsidP="00C6116D">
      <w:pPr>
        <w:spacing w:line="276" w:lineRule="auto"/>
        <w:jc w:val="both"/>
        <w:rPr>
          <w:rFonts w:ascii="Verdana" w:hAnsi="Verdana" w:cs="Arial"/>
          <w:sz w:val="22"/>
          <w:szCs w:val="22"/>
        </w:rPr>
      </w:pPr>
      <w:r w:rsidRPr="00C60BCA">
        <w:rPr>
          <w:rFonts w:ascii="Verdana" w:hAnsi="Verdana" w:cs="Arial"/>
          <w:sz w:val="22"/>
          <w:szCs w:val="22"/>
          <w:highlight w:val="yellow"/>
        </w:rPr>
        <w:t>Que</w:t>
      </w:r>
      <w:r w:rsidR="00D875F2">
        <w:rPr>
          <w:rFonts w:ascii="Verdana" w:hAnsi="Verdana" w:cs="Arial"/>
          <w:sz w:val="22"/>
          <w:szCs w:val="22"/>
        </w:rPr>
        <w:t xml:space="preserve"> </w:t>
      </w:r>
      <w:r w:rsidR="00D875F2" w:rsidRPr="00D875F2">
        <w:rPr>
          <w:rFonts w:ascii="Verdana" w:hAnsi="Verdana" w:cs="Arial"/>
          <w:sz w:val="22"/>
          <w:szCs w:val="22"/>
        </w:rPr>
        <w:t xml:space="preserve">se considera necesario fortalecer y unificar el Anexo – Glosario de los </w:t>
      </w:r>
      <w:r w:rsidR="00EB471C">
        <w:rPr>
          <w:rFonts w:ascii="Verdana" w:hAnsi="Verdana" w:cs="Arial"/>
          <w:sz w:val="22"/>
          <w:szCs w:val="22"/>
        </w:rPr>
        <w:t>d</w:t>
      </w:r>
      <w:r w:rsidR="00D875F2" w:rsidRPr="00D875F2">
        <w:rPr>
          <w:rFonts w:ascii="Verdana" w:hAnsi="Verdana" w:cs="Arial"/>
          <w:sz w:val="22"/>
          <w:szCs w:val="22"/>
        </w:rPr>
        <w:t xml:space="preserve">ocumentos </w:t>
      </w:r>
      <w:r w:rsidR="00EB471C">
        <w:rPr>
          <w:rFonts w:ascii="Verdana" w:hAnsi="Verdana" w:cs="Arial"/>
          <w:sz w:val="22"/>
          <w:szCs w:val="22"/>
        </w:rPr>
        <w:t>t</w:t>
      </w:r>
      <w:r w:rsidR="00D875F2" w:rsidRPr="00D875F2">
        <w:rPr>
          <w:rFonts w:ascii="Verdana" w:hAnsi="Verdana" w:cs="Arial"/>
          <w:sz w:val="22"/>
          <w:szCs w:val="22"/>
        </w:rPr>
        <w:t xml:space="preserve">ipo aplicables a los procesos de selección mediante concurso de méritos para la contratación de interventoría de obras públicas de infraestructura social – Versión 1, con el propósito de garantizar su implementación transversal, en atención a la incorporación de nuevos subsectores. </w:t>
      </w:r>
    </w:p>
    <w:p w14:paraId="54835B59" w14:textId="77777777" w:rsidR="00EB471C" w:rsidRDefault="00EB471C" w:rsidP="00C6116D">
      <w:pPr>
        <w:spacing w:line="276" w:lineRule="auto"/>
        <w:jc w:val="both"/>
        <w:rPr>
          <w:rFonts w:ascii="Verdana" w:hAnsi="Verdana" w:cs="Arial"/>
          <w:sz w:val="22"/>
          <w:szCs w:val="22"/>
        </w:rPr>
      </w:pPr>
    </w:p>
    <w:p w14:paraId="37B4A738" w14:textId="2FA31860" w:rsidR="00C6116D" w:rsidRPr="00C60BCA" w:rsidRDefault="00EB471C" w:rsidP="00C6116D">
      <w:pPr>
        <w:spacing w:line="276" w:lineRule="auto"/>
        <w:jc w:val="both"/>
        <w:rPr>
          <w:rFonts w:ascii="Verdana" w:hAnsi="Verdana" w:cs="Arial"/>
          <w:sz w:val="22"/>
          <w:szCs w:val="22"/>
        </w:rPr>
      </w:pPr>
      <w:r>
        <w:rPr>
          <w:rFonts w:ascii="Verdana" w:hAnsi="Verdana" w:cs="Arial"/>
          <w:sz w:val="22"/>
          <w:szCs w:val="22"/>
        </w:rPr>
        <w:t xml:space="preserve">Que se </w:t>
      </w:r>
      <w:r w:rsidR="00D875F2" w:rsidRPr="00D875F2">
        <w:rPr>
          <w:rFonts w:ascii="Verdana" w:hAnsi="Verdana" w:cs="Arial"/>
          <w:sz w:val="22"/>
          <w:szCs w:val="22"/>
        </w:rPr>
        <w:t xml:space="preserve">requiere delimitar de forma clara el tipo de edificaciones a las cuales resultan aplicables </w:t>
      </w:r>
      <w:r w:rsidRPr="00C60BCA">
        <w:rPr>
          <w:rFonts w:ascii="Verdana" w:hAnsi="Verdana" w:cs="Arial"/>
          <w:sz w:val="22"/>
          <w:szCs w:val="22"/>
        </w:rPr>
        <w:t xml:space="preserve">los documentos tipo para los procesos de concurso de méritos para contratar la interventoría de obras públicas de infraestructura social </w:t>
      </w:r>
      <w:r w:rsidRPr="00C60BCA">
        <w:rPr>
          <w:rFonts w:ascii="Verdana" w:eastAsia="Symbol" w:hAnsi="Verdana" w:cs="Symbol"/>
          <w:sz w:val="22"/>
          <w:szCs w:val="22"/>
        </w:rPr>
        <w:t>-</w:t>
      </w:r>
      <w:r w:rsidRPr="00C60BCA">
        <w:rPr>
          <w:rFonts w:ascii="Verdana" w:hAnsi="Verdana" w:cs="Arial"/>
          <w:sz w:val="22"/>
          <w:szCs w:val="22"/>
        </w:rPr>
        <w:t xml:space="preserve"> Versión 1</w:t>
      </w:r>
      <w:r w:rsidR="00D875F2" w:rsidRPr="00D875F2">
        <w:rPr>
          <w:rFonts w:ascii="Verdana" w:hAnsi="Verdana" w:cs="Arial"/>
          <w:sz w:val="22"/>
          <w:szCs w:val="22"/>
        </w:rPr>
        <w:t xml:space="preserve">, así como ampliar e incorporar nuevas actividades en cada una de las Matrices de Experiencia, con miras a extender su ámbito de aplicación. Adicionalmente, se </w:t>
      </w:r>
      <w:r w:rsidR="00D875F2" w:rsidRPr="00D875F2">
        <w:rPr>
          <w:rFonts w:ascii="Verdana" w:hAnsi="Verdana" w:cs="Arial"/>
          <w:sz w:val="22"/>
          <w:szCs w:val="22"/>
        </w:rPr>
        <w:lastRenderedPageBreak/>
        <w:t>plantea</w:t>
      </w:r>
      <w:r w:rsidR="00BE6E7A">
        <w:rPr>
          <w:rFonts w:ascii="Verdana" w:hAnsi="Verdana" w:cs="Arial"/>
          <w:sz w:val="22"/>
          <w:szCs w:val="22"/>
        </w:rPr>
        <w:t>n</w:t>
      </w:r>
      <w:r w:rsidR="00D875F2" w:rsidRPr="00D875F2">
        <w:rPr>
          <w:rFonts w:ascii="Verdana" w:hAnsi="Verdana" w:cs="Arial"/>
          <w:sz w:val="22"/>
          <w:szCs w:val="22"/>
        </w:rPr>
        <w:t xml:space="preserve"> </w:t>
      </w:r>
      <w:r w:rsidR="00BE6E7A">
        <w:rPr>
          <w:rFonts w:ascii="Verdana" w:hAnsi="Verdana" w:cs="Arial"/>
          <w:sz w:val="22"/>
          <w:szCs w:val="22"/>
        </w:rPr>
        <w:t>ajustes relativos a</w:t>
      </w:r>
      <w:r w:rsidR="00D875F2" w:rsidRPr="00D875F2">
        <w:rPr>
          <w:rFonts w:ascii="Verdana" w:hAnsi="Verdana" w:cs="Arial"/>
          <w:sz w:val="22"/>
          <w:szCs w:val="22"/>
        </w:rPr>
        <w:t xml:space="preserve"> la acreditación de la capacidad financiera en los </w:t>
      </w:r>
      <w:r w:rsidR="00FC05CD">
        <w:rPr>
          <w:rFonts w:ascii="Verdana" w:hAnsi="Verdana" w:cs="Arial"/>
          <w:sz w:val="22"/>
          <w:szCs w:val="22"/>
        </w:rPr>
        <w:t>d</w:t>
      </w:r>
      <w:r w:rsidR="00D875F2" w:rsidRPr="00D875F2">
        <w:rPr>
          <w:rFonts w:ascii="Verdana" w:hAnsi="Verdana" w:cs="Arial"/>
          <w:sz w:val="22"/>
          <w:szCs w:val="22"/>
        </w:rPr>
        <w:t xml:space="preserve">ocumentos </w:t>
      </w:r>
      <w:r w:rsidR="00FC05CD">
        <w:rPr>
          <w:rFonts w:ascii="Verdana" w:hAnsi="Verdana" w:cs="Arial"/>
          <w:sz w:val="22"/>
          <w:szCs w:val="22"/>
        </w:rPr>
        <w:t>t</w:t>
      </w:r>
      <w:r w:rsidR="00D875F2" w:rsidRPr="00D875F2">
        <w:rPr>
          <w:rFonts w:ascii="Verdana" w:hAnsi="Verdana" w:cs="Arial"/>
          <w:sz w:val="22"/>
          <w:szCs w:val="22"/>
        </w:rPr>
        <w:t>ipo</w:t>
      </w:r>
      <w:r w:rsidR="00FC05CD">
        <w:rPr>
          <w:rFonts w:ascii="Verdana" w:hAnsi="Verdana" w:cs="Arial"/>
          <w:sz w:val="22"/>
          <w:szCs w:val="22"/>
        </w:rPr>
        <w:t xml:space="preserve"> señalados</w:t>
      </w:r>
      <w:r w:rsidR="00D875F2" w:rsidRPr="00D875F2">
        <w:rPr>
          <w:rFonts w:ascii="Verdana" w:hAnsi="Verdana" w:cs="Arial"/>
          <w:sz w:val="22"/>
          <w:szCs w:val="22"/>
        </w:rPr>
        <w:t>, entre otros ajustes sustanciales, los cuales se encuentran debidamente detallados en la memoria justificativa que acompaña los citados documentos.</w:t>
      </w:r>
    </w:p>
    <w:p w14:paraId="0041FB7D" w14:textId="77777777" w:rsidR="00C6116D" w:rsidRDefault="00C6116D" w:rsidP="00825E89">
      <w:pPr>
        <w:spacing w:line="276" w:lineRule="auto"/>
        <w:jc w:val="both"/>
        <w:rPr>
          <w:rFonts w:ascii="Verdana" w:hAnsi="Verdana" w:cs="Arial"/>
          <w:sz w:val="22"/>
          <w:szCs w:val="22"/>
        </w:rPr>
      </w:pPr>
    </w:p>
    <w:p w14:paraId="4B61AAAB" w14:textId="5F68A45E" w:rsidR="00B04085" w:rsidRPr="00C60BCA" w:rsidRDefault="00595943" w:rsidP="00C60BCA">
      <w:pPr>
        <w:spacing w:line="276" w:lineRule="auto"/>
        <w:jc w:val="both"/>
        <w:rPr>
          <w:rFonts w:ascii="Verdana" w:hAnsi="Verdana" w:cs="Arial"/>
          <w:sz w:val="22"/>
          <w:szCs w:val="22"/>
        </w:rPr>
      </w:pPr>
      <w:r>
        <w:rPr>
          <w:rFonts w:ascii="Verdana" w:hAnsi="Verdana" w:cs="Arial"/>
          <w:sz w:val="22"/>
          <w:szCs w:val="22"/>
        </w:rPr>
        <w:t xml:space="preserve">Que mediante la Resolución </w:t>
      </w:r>
      <w:r w:rsidR="00E93C75">
        <w:rPr>
          <w:rFonts w:ascii="Verdana" w:hAnsi="Verdana" w:cs="Arial"/>
          <w:sz w:val="22"/>
          <w:szCs w:val="22"/>
        </w:rPr>
        <w:t xml:space="preserve">539 del </w:t>
      </w:r>
      <w:r w:rsidR="00E40822">
        <w:rPr>
          <w:rFonts w:ascii="Verdana" w:hAnsi="Verdana" w:cs="Arial"/>
          <w:sz w:val="22"/>
          <w:szCs w:val="22"/>
        </w:rPr>
        <w:t xml:space="preserve">21 de agosto de 2025 </w:t>
      </w:r>
      <w:r w:rsidR="00E40822" w:rsidRPr="000D781E">
        <w:rPr>
          <w:rFonts w:ascii="Verdana" w:hAnsi="Verdana" w:cs="Arial"/>
          <w:sz w:val="22"/>
          <w:szCs w:val="22"/>
        </w:rPr>
        <w:t xml:space="preserve">la Agencia Nacional de Contratación Pública </w:t>
      </w:r>
      <w:r w:rsidR="00E40822" w:rsidRPr="00C60BCA">
        <w:rPr>
          <w:rFonts w:ascii="Verdana" w:hAnsi="Verdana" w:cs="Arial"/>
          <w:sz w:val="22"/>
          <w:szCs w:val="22"/>
        </w:rPr>
        <w:t>-</w:t>
      </w:r>
      <w:r w:rsidR="00E40822" w:rsidRPr="000D781E">
        <w:rPr>
          <w:rFonts w:ascii="Verdana" w:hAnsi="Verdana" w:cs="Arial"/>
          <w:sz w:val="22"/>
          <w:szCs w:val="22"/>
        </w:rPr>
        <w:t xml:space="preserve"> Colombia Compra Eficiente</w:t>
      </w:r>
      <w:r w:rsidR="00E40822">
        <w:rPr>
          <w:rFonts w:ascii="Verdana" w:hAnsi="Verdana" w:cs="Arial"/>
          <w:sz w:val="22"/>
          <w:szCs w:val="22"/>
        </w:rPr>
        <w:t xml:space="preserve"> adoptó la </w:t>
      </w:r>
      <w:r w:rsidR="00B04085" w:rsidRPr="00C60BCA">
        <w:rPr>
          <w:rFonts w:ascii="Verdana" w:hAnsi="Verdana" w:cs="Arial"/>
          <w:sz w:val="22"/>
          <w:szCs w:val="22"/>
        </w:rPr>
        <w:t xml:space="preserve">versión -2- de los documentos tipo para los procesos de selección de licitación de obra pública del sector de infraestructura social; </w:t>
      </w:r>
      <w:r w:rsidR="00DA7B8E">
        <w:rPr>
          <w:rFonts w:ascii="Verdana" w:hAnsi="Verdana" w:cs="Arial"/>
          <w:sz w:val="22"/>
          <w:szCs w:val="22"/>
        </w:rPr>
        <w:t xml:space="preserve">y </w:t>
      </w:r>
      <w:r w:rsidR="00B04085" w:rsidRPr="00C60BCA">
        <w:rPr>
          <w:rFonts w:ascii="Verdana" w:hAnsi="Verdana" w:cs="Arial"/>
          <w:sz w:val="22"/>
          <w:szCs w:val="22"/>
        </w:rPr>
        <w:t>los documentos tipo complementarios para los procesos de licitación de obra pública de infraestructura social relacionados con los sectores de educación, salud, cultura, recreación y deporte – versión 2; y los documentos tipo complementarios para los procesos de licitación de obra pública de infraestructura social relacionados con los sectores institucional y vivienda.</w:t>
      </w:r>
    </w:p>
    <w:p w14:paraId="7D84685E" w14:textId="7CDD330A" w:rsidR="00595943" w:rsidRDefault="00595943" w:rsidP="00825E89">
      <w:pPr>
        <w:spacing w:line="276" w:lineRule="auto"/>
        <w:jc w:val="both"/>
        <w:rPr>
          <w:rFonts w:ascii="Verdana" w:hAnsi="Verdana" w:cs="Arial"/>
          <w:sz w:val="22"/>
          <w:szCs w:val="22"/>
        </w:rPr>
      </w:pPr>
    </w:p>
    <w:p w14:paraId="1895CA42" w14:textId="6F668D23" w:rsidR="005D51C1" w:rsidRPr="00C60BCA" w:rsidRDefault="005D51C1" w:rsidP="00825E89">
      <w:pPr>
        <w:spacing w:line="276" w:lineRule="auto"/>
        <w:jc w:val="both"/>
        <w:rPr>
          <w:rFonts w:ascii="Verdana" w:hAnsi="Verdana" w:cs="Arial"/>
          <w:sz w:val="22"/>
          <w:szCs w:val="22"/>
        </w:rPr>
      </w:pPr>
      <w:r>
        <w:rPr>
          <w:rFonts w:ascii="Verdana" w:hAnsi="Verdana" w:cs="Arial"/>
          <w:sz w:val="22"/>
          <w:szCs w:val="22"/>
        </w:rPr>
        <w:t>Que mediante la Resolución 54</w:t>
      </w:r>
      <w:r w:rsidR="00987BF3">
        <w:rPr>
          <w:rFonts w:ascii="Verdana" w:hAnsi="Verdana" w:cs="Arial"/>
          <w:sz w:val="22"/>
          <w:szCs w:val="22"/>
        </w:rPr>
        <w:t>0</w:t>
      </w:r>
      <w:r>
        <w:rPr>
          <w:rFonts w:ascii="Verdana" w:hAnsi="Verdana" w:cs="Arial"/>
          <w:sz w:val="22"/>
          <w:szCs w:val="22"/>
        </w:rPr>
        <w:t xml:space="preserve"> del 21 de agosto de 2025 </w:t>
      </w:r>
      <w:r w:rsidRPr="000D781E">
        <w:rPr>
          <w:rFonts w:ascii="Verdana" w:hAnsi="Verdana" w:cs="Arial"/>
          <w:sz w:val="22"/>
          <w:szCs w:val="22"/>
        </w:rPr>
        <w:t>la Agencia Nacional de Contratación Pública - Colombia Compra Eficiente</w:t>
      </w:r>
      <w:r>
        <w:rPr>
          <w:rFonts w:ascii="Verdana" w:hAnsi="Verdana" w:cs="Arial"/>
          <w:sz w:val="22"/>
          <w:szCs w:val="22"/>
        </w:rPr>
        <w:t xml:space="preserve"> adoptó</w:t>
      </w:r>
      <w:r w:rsidR="00987BF3">
        <w:rPr>
          <w:rFonts w:ascii="Verdana" w:hAnsi="Verdana" w:cs="Arial"/>
          <w:sz w:val="22"/>
          <w:szCs w:val="22"/>
        </w:rPr>
        <w:t xml:space="preserve"> </w:t>
      </w:r>
      <w:r w:rsidR="00DF35C9" w:rsidRPr="00C60BCA">
        <w:rPr>
          <w:rFonts w:ascii="Verdana" w:hAnsi="Verdana" w:cs="Arial"/>
          <w:sz w:val="22"/>
          <w:szCs w:val="22"/>
        </w:rPr>
        <w:t>los documentos tipo para los procesos de selección abreviada de menor cuantía de obra pública de infraestructura social; y los documentos tipo complementarios para los procesos de selección abreviada de menor cuantía de obra pública de infraestructura social relacionados con los sectores educación, salud, cultura, recreación y deporte, institucional y vivienda.</w:t>
      </w:r>
    </w:p>
    <w:p w14:paraId="15775B81" w14:textId="77777777" w:rsidR="00EB0021" w:rsidRDefault="00EB0021" w:rsidP="00E17415">
      <w:pPr>
        <w:spacing w:line="276" w:lineRule="auto"/>
        <w:jc w:val="both"/>
        <w:rPr>
          <w:rFonts w:ascii="Verdana" w:hAnsi="Verdana" w:cs="Arial"/>
          <w:sz w:val="22"/>
          <w:szCs w:val="22"/>
        </w:rPr>
      </w:pPr>
    </w:p>
    <w:p w14:paraId="7DF3E984" w14:textId="77777777" w:rsidR="00BB5C20" w:rsidRPr="002024F8" w:rsidRDefault="00BB5C20" w:rsidP="00BB5C20">
      <w:pPr>
        <w:spacing w:line="276" w:lineRule="auto"/>
        <w:jc w:val="both"/>
        <w:rPr>
          <w:rFonts w:ascii="Verdana" w:hAnsi="Verdana" w:cs="Arial"/>
          <w:sz w:val="22"/>
          <w:szCs w:val="22"/>
        </w:rPr>
      </w:pPr>
      <w:r w:rsidRPr="002024F8">
        <w:rPr>
          <w:rFonts w:ascii="Verdana" w:hAnsi="Verdana" w:cs="Arial"/>
          <w:sz w:val="22"/>
          <w:szCs w:val="22"/>
        </w:rPr>
        <w:t xml:space="preserve">Que mediante la Resolución 541 del 21 de agosto de 2025 la Agencia Nacional de Contratación Pública - Colombia Compra Eficiente adoptó los </w:t>
      </w:r>
      <w:r w:rsidRPr="00EC5B81">
        <w:rPr>
          <w:rFonts w:ascii="Verdana" w:hAnsi="Verdana" w:cs="Arial"/>
          <w:sz w:val="22"/>
          <w:szCs w:val="22"/>
        </w:rPr>
        <w:t>documentos tipo para los procesos de mínima cuantía de obra pública de infraestructura social; y los documentos tipo complementarios para los procesos de mínima cuantía de obra pública de infraestructura social relacionados con los sectores educación, salud, cultura, recreación y deporte, institucional y vivienda</w:t>
      </w:r>
      <w:r>
        <w:rPr>
          <w:rFonts w:ascii="Verdana" w:hAnsi="Verdana" w:cs="Arial"/>
          <w:sz w:val="22"/>
          <w:szCs w:val="22"/>
        </w:rPr>
        <w:t xml:space="preserve">. </w:t>
      </w:r>
    </w:p>
    <w:p w14:paraId="3AD0F92C" w14:textId="77777777" w:rsidR="00BB5C20" w:rsidRDefault="00BB5C20" w:rsidP="00E17415">
      <w:pPr>
        <w:spacing w:line="276" w:lineRule="auto"/>
        <w:jc w:val="both"/>
        <w:rPr>
          <w:rFonts w:ascii="Verdana" w:hAnsi="Verdana" w:cs="Arial"/>
          <w:sz w:val="22"/>
          <w:szCs w:val="22"/>
        </w:rPr>
      </w:pPr>
    </w:p>
    <w:p w14:paraId="42B65AB0" w14:textId="4DFA672C" w:rsidR="00234B3C" w:rsidRDefault="00234B3C" w:rsidP="00234B3C">
      <w:pPr>
        <w:spacing w:line="276" w:lineRule="auto"/>
        <w:jc w:val="both"/>
        <w:rPr>
          <w:rFonts w:ascii="Verdana" w:hAnsi="Verdana" w:cs="Arial"/>
          <w:sz w:val="22"/>
          <w:szCs w:val="22"/>
        </w:rPr>
      </w:pPr>
      <w:r w:rsidRPr="000D781E">
        <w:rPr>
          <w:rFonts w:ascii="Verdana" w:hAnsi="Verdana" w:cs="Arial"/>
          <w:sz w:val="22"/>
          <w:szCs w:val="22"/>
        </w:rPr>
        <w:t xml:space="preserve">Que </w:t>
      </w:r>
      <w:r w:rsidR="00992EA3">
        <w:rPr>
          <w:rFonts w:ascii="Verdana" w:hAnsi="Verdana" w:cs="Arial"/>
          <w:sz w:val="22"/>
          <w:szCs w:val="22"/>
        </w:rPr>
        <w:t xml:space="preserve">conforme con lo anterior, </w:t>
      </w:r>
      <w:r w:rsidRPr="000D781E">
        <w:rPr>
          <w:rFonts w:ascii="Verdana" w:hAnsi="Verdana" w:cs="Arial"/>
          <w:sz w:val="22"/>
          <w:szCs w:val="22"/>
        </w:rPr>
        <w:t xml:space="preserve">la Agencia Nacional de Contratación Pública </w:t>
      </w:r>
      <w:r w:rsidRPr="000D781E">
        <w:rPr>
          <w:rFonts w:ascii="Verdana" w:eastAsia="Symbol" w:hAnsi="Verdana" w:cs="Symbol"/>
          <w:sz w:val="22"/>
          <w:szCs w:val="22"/>
        </w:rPr>
        <w:t>-</w:t>
      </w:r>
      <w:r w:rsidRPr="000D781E">
        <w:rPr>
          <w:rFonts w:ascii="Verdana" w:hAnsi="Verdana" w:cs="Arial"/>
          <w:sz w:val="22"/>
          <w:szCs w:val="22"/>
        </w:rPr>
        <w:t xml:space="preserve"> Colombia Compra Eficiente avanz</w:t>
      </w:r>
      <w:r w:rsidR="00992EA3">
        <w:rPr>
          <w:rFonts w:ascii="Verdana" w:hAnsi="Verdana" w:cs="Arial"/>
          <w:sz w:val="22"/>
          <w:szCs w:val="22"/>
        </w:rPr>
        <w:t>ó</w:t>
      </w:r>
      <w:r w:rsidRPr="000D781E">
        <w:rPr>
          <w:rFonts w:ascii="Verdana" w:hAnsi="Verdana" w:cs="Arial"/>
          <w:sz w:val="22"/>
          <w:szCs w:val="22"/>
        </w:rPr>
        <w:t xml:space="preserve"> en la adopción de documento tipo infraestructura social en otros sectores diferentes a</w:t>
      </w:r>
      <w:r w:rsidR="00606B25">
        <w:rPr>
          <w:rFonts w:ascii="Verdana" w:hAnsi="Verdana" w:cs="Arial"/>
          <w:sz w:val="22"/>
          <w:szCs w:val="22"/>
        </w:rPr>
        <w:t xml:space="preserve"> los previamente acogidos</w:t>
      </w:r>
      <w:r w:rsidRPr="000D781E">
        <w:rPr>
          <w:rFonts w:ascii="Verdana" w:hAnsi="Verdana" w:cs="Arial"/>
          <w:sz w:val="22"/>
          <w:szCs w:val="22"/>
        </w:rPr>
        <w:t xml:space="preserve">, por lo tanto, deben extenderse los documentos tipo de concurso de méritos para contratar la interventoría de obras públicas de infraestructura social, a esos nuevos sectores. </w:t>
      </w:r>
    </w:p>
    <w:p w14:paraId="537120AB" w14:textId="77777777" w:rsidR="00EC5657" w:rsidRDefault="00EC5657" w:rsidP="00234B3C">
      <w:pPr>
        <w:spacing w:line="276" w:lineRule="auto"/>
        <w:jc w:val="both"/>
        <w:rPr>
          <w:rFonts w:ascii="Verdana" w:hAnsi="Verdana" w:cs="Arial"/>
          <w:sz w:val="22"/>
          <w:szCs w:val="22"/>
        </w:rPr>
      </w:pPr>
    </w:p>
    <w:p w14:paraId="3E077F19" w14:textId="2BFE15EF" w:rsidR="00E022B1" w:rsidRPr="000D781E" w:rsidRDefault="00E022B1" w:rsidP="00E022B1">
      <w:pPr>
        <w:spacing w:line="276" w:lineRule="auto"/>
        <w:jc w:val="both"/>
        <w:rPr>
          <w:rFonts w:ascii="Verdana" w:hAnsi="Verdana" w:cs="Arial"/>
          <w:sz w:val="22"/>
          <w:szCs w:val="22"/>
        </w:rPr>
      </w:pPr>
      <w:r w:rsidRPr="000D781E">
        <w:rPr>
          <w:rFonts w:ascii="Verdana" w:hAnsi="Verdana" w:cs="Arial"/>
          <w:sz w:val="22"/>
          <w:szCs w:val="22"/>
        </w:rPr>
        <w:t>Que con el propósito de promover buenas prácticas contractuales que garanticen el adecuado manejo de los recursos públicos destinado a las obras públicas del sector institucional</w:t>
      </w:r>
      <w:r>
        <w:rPr>
          <w:rFonts w:ascii="Verdana" w:hAnsi="Verdana" w:cs="Arial"/>
          <w:sz w:val="22"/>
          <w:szCs w:val="22"/>
        </w:rPr>
        <w:t xml:space="preserve"> y vivienda</w:t>
      </w:r>
      <w:r w:rsidRPr="000D781E">
        <w:rPr>
          <w:rFonts w:ascii="Verdana" w:hAnsi="Verdana" w:cs="Arial"/>
          <w:sz w:val="22"/>
          <w:szCs w:val="22"/>
        </w:rPr>
        <w:t>, es necesario que los documentos tipo de concurso de méritos para contratar la interventoría de obras públicas de infraestructura social, cobijen es</w:t>
      </w:r>
      <w:r w:rsidR="00984762">
        <w:rPr>
          <w:rFonts w:ascii="Verdana" w:hAnsi="Verdana" w:cs="Arial"/>
          <w:sz w:val="22"/>
          <w:szCs w:val="22"/>
        </w:rPr>
        <w:t>os</w:t>
      </w:r>
      <w:r w:rsidRPr="000D781E">
        <w:rPr>
          <w:rFonts w:ascii="Verdana" w:hAnsi="Verdana" w:cs="Arial"/>
          <w:sz w:val="22"/>
          <w:szCs w:val="22"/>
        </w:rPr>
        <w:t xml:space="preserve"> nuevo</w:t>
      </w:r>
      <w:r w:rsidR="00984762">
        <w:rPr>
          <w:rFonts w:ascii="Verdana" w:hAnsi="Verdana" w:cs="Arial"/>
          <w:sz w:val="22"/>
          <w:szCs w:val="22"/>
        </w:rPr>
        <w:t>s</w:t>
      </w:r>
      <w:r w:rsidRPr="000D781E">
        <w:rPr>
          <w:rFonts w:ascii="Verdana" w:hAnsi="Verdana" w:cs="Arial"/>
          <w:sz w:val="22"/>
          <w:szCs w:val="22"/>
        </w:rPr>
        <w:t xml:space="preserve"> sector</w:t>
      </w:r>
      <w:r w:rsidR="00984762">
        <w:rPr>
          <w:rFonts w:ascii="Verdana" w:hAnsi="Verdana" w:cs="Arial"/>
          <w:sz w:val="22"/>
          <w:szCs w:val="22"/>
        </w:rPr>
        <w:t>es</w:t>
      </w:r>
      <w:r w:rsidRPr="000D781E">
        <w:rPr>
          <w:rFonts w:ascii="Verdana" w:hAnsi="Verdana" w:cs="Arial"/>
          <w:sz w:val="22"/>
          <w:szCs w:val="22"/>
        </w:rPr>
        <w:t xml:space="preserve">, considerando la inversión significativa de recursos públicos </w:t>
      </w:r>
      <w:r w:rsidR="00161A53">
        <w:rPr>
          <w:rFonts w:ascii="Verdana" w:hAnsi="Verdana" w:cs="Arial"/>
          <w:sz w:val="22"/>
          <w:szCs w:val="22"/>
        </w:rPr>
        <w:t>en ese sector</w:t>
      </w:r>
      <w:r w:rsidRPr="000D781E">
        <w:rPr>
          <w:rFonts w:ascii="Verdana" w:hAnsi="Verdana" w:cs="Arial"/>
          <w:sz w:val="22"/>
          <w:szCs w:val="22"/>
        </w:rPr>
        <w:t xml:space="preserve">. </w:t>
      </w:r>
    </w:p>
    <w:p w14:paraId="60796714" w14:textId="77777777" w:rsidR="00E17415" w:rsidRPr="00C60BCA" w:rsidRDefault="00E17415" w:rsidP="00E17415">
      <w:pPr>
        <w:spacing w:line="276" w:lineRule="auto"/>
        <w:jc w:val="both"/>
        <w:rPr>
          <w:rFonts w:ascii="Verdana" w:hAnsi="Verdana" w:cs="Arial"/>
          <w:sz w:val="22"/>
          <w:szCs w:val="22"/>
          <w:lang w:val="es-CO"/>
        </w:rPr>
      </w:pPr>
    </w:p>
    <w:p w14:paraId="1F12F22F" w14:textId="77777777" w:rsidR="00E17415" w:rsidRPr="00C60BCA" w:rsidRDefault="00E17415" w:rsidP="00E17415">
      <w:pPr>
        <w:spacing w:line="276" w:lineRule="auto"/>
        <w:jc w:val="both"/>
        <w:rPr>
          <w:rFonts w:ascii="Verdana" w:hAnsi="Verdana" w:cs="Arial"/>
          <w:sz w:val="22"/>
          <w:szCs w:val="22"/>
        </w:rPr>
      </w:pPr>
      <w:r w:rsidRPr="00C60BCA">
        <w:rPr>
          <w:rFonts w:ascii="Verdana" w:hAnsi="Verdana" w:cs="Arial"/>
          <w:sz w:val="22"/>
          <w:szCs w:val="22"/>
        </w:rPr>
        <w:t xml:space="preserve">Que en cumplimiento de lo establecido en el numeral 8 del artículo 8 de la Ley 1437 de 2011 y el artículo 11 de la Resolución 160 del 15 de septiembre de 2020, expedida por la Agencia Nacional de Contratación Pública, el presente acto administrativo se publicó en la página web de la Agencia durante </w:t>
      </w:r>
      <w:r w:rsidRPr="00C60BCA">
        <w:rPr>
          <w:rFonts w:ascii="Verdana" w:hAnsi="Verdana" w:cs="Arial"/>
          <w:sz w:val="22"/>
          <w:szCs w:val="22"/>
          <w:highlight w:val="yellow"/>
        </w:rPr>
        <w:t>XX</w:t>
      </w:r>
      <w:r w:rsidRPr="00C60BCA">
        <w:rPr>
          <w:rFonts w:ascii="Verdana" w:hAnsi="Verdana" w:cs="Arial"/>
          <w:sz w:val="22"/>
          <w:szCs w:val="22"/>
        </w:rPr>
        <w:t xml:space="preserve"> días calendario para recibir observaciones de la ciudadanía, las cuales fueron analizadas e incorporadas, en lo pertinente, en los documentos tipo. </w:t>
      </w:r>
    </w:p>
    <w:p w14:paraId="34E1BC08" w14:textId="77777777" w:rsidR="00E17415" w:rsidRPr="00C60BCA" w:rsidRDefault="00E17415" w:rsidP="00E17415">
      <w:pPr>
        <w:spacing w:line="276" w:lineRule="auto"/>
        <w:jc w:val="both"/>
        <w:rPr>
          <w:rFonts w:ascii="Verdana" w:hAnsi="Verdana" w:cs="Arial"/>
          <w:sz w:val="22"/>
          <w:szCs w:val="22"/>
        </w:rPr>
      </w:pPr>
    </w:p>
    <w:p w14:paraId="52F75945" w14:textId="77777777" w:rsidR="00E17415" w:rsidRPr="00C60BCA" w:rsidRDefault="00E17415" w:rsidP="00E17415">
      <w:pPr>
        <w:spacing w:line="276" w:lineRule="auto"/>
        <w:jc w:val="both"/>
        <w:rPr>
          <w:rFonts w:ascii="Verdana" w:hAnsi="Verdana" w:cs="Arial"/>
          <w:sz w:val="22"/>
          <w:szCs w:val="22"/>
        </w:rPr>
      </w:pPr>
      <w:r w:rsidRPr="00C60BCA">
        <w:rPr>
          <w:rFonts w:ascii="Verdana" w:hAnsi="Verdana" w:cs="Arial"/>
          <w:sz w:val="22"/>
          <w:szCs w:val="22"/>
        </w:rPr>
        <w:t>Que en cumplimiento del artículo 7 de la Ley 1340 de 2009 y del artículo 2.1.2.1.9 del Decreto 1081 de 2015, la Superintendencia</w:t>
      </w:r>
      <w:r w:rsidRPr="00C60BCA">
        <w:rPr>
          <w:rFonts w:ascii="Verdana" w:hAnsi="Verdana" w:cs="Arial"/>
          <w:color w:val="000000" w:themeColor="text1"/>
          <w:sz w:val="22"/>
          <w:szCs w:val="22"/>
        </w:rPr>
        <w:t xml:space="preserve"> de Industria y Comercio, mediante oficio con radicado No. </w:t>
      </w:r>
      <w:r w:rsidRPr="00C60BCA">
        <w:rPr>
          <w:rFonts w:ascii="Verdana" w:hAnsi="Verdana" w:cs="Arial"/>
          <w:color w:val="000000" w:themeColor="text1"/>
          <w:sz w:val="22"/>
          <w:szCs w:val="22"/>
          <w:highlight w:val="yellow"/>
        </w:rPr>
        <w:t>XXXXX</w:t>
      </w:r>
      <w:r w:rsidRPr="00C60BCA">
        <w:rPr>
          <w:rFonts w:ascii="Verdana" w:hAnsi="Verdana" w:cs="Arial"/>
          <w:color w:val="000000" w:themeColor="text1"/>
          <w:sz w:val="22"/>
          <w:szCs w:val="22"/>
        </w:rPr>
        <w:t xml:space="preserve"> del </w:t>
      </w:r>
      <w:r w:rsidRPr="00C60BCA">
        <w:rPr>
          <w:rFonts w:ascii="Verdana" w:hAnsi="Verdana" w:cs="Arial"/>
          <w:color w:val="000000" w:themeColor="text1"/>
          <w:sz w:val="22"/>
          <w:szCs w:val="22"/>
          <w:highlight w:val="yellow"/>
        </w:rPr>
        <w:t>XX</w:t>
      </w:r>
      <w:r w:rsidRPr="00C60BCA">
        <w:rPr>
          <w:rFonts w:ascii="Verdana" w:hAnsi="Verdana" w:cs="Arial"/>
          <w:color w:val="000000" w:themeColor="text1"/>
          <w:sz w:val="22"/>
          <w:szCs w:val="22"/>
        </w:rPr>
        <w:t xml:space="preserve"> de </w:t>
      </w:r>
      <w:r w:rsidRPr="00C60BCA">
        <w:rPr>
          <w:rFonts w:ascii="Verdana" w:hAnsi="Verdana" w:cs="Arial"/>
          <w:color w:val="000000" w:themeColor="text1"/>
          <w:sz w:val="22"/>
          <w:szCs w:val="22"/>
          <w:highlight w:val="yellow"/>
        </w:rPr>
        <w:t>XXXXXXX</w:t>
      </w:r>
      <w:r w:rsidRPr="00C60BCA">
        <w:rPr>
          <w:rFonts w:ascii="Verdana" w:hAnsi="Verdana" w:cs="Arial"/>
          <w:color w:val="000000" w:themeColor="text1"/>
          <w:sz w:val="22"/>
          <w:szCs w:val="22"/>
        </w:rPr>
        <w:t xml:space="preserve"> de 2025, refiriéndose a los pliegos tipo que aquí se adoptan, manifestó que su expedición es positiva, entre otras, por </w:t>
      </w:r>
      <w:r w:rsidRPr="00C60BCA">
        <w:rPr>
          <w:rFonts w:ascii="Verdana" w:hAnsi="Verdana" w:cs="Arial"/>
          <w:color w:val="000000" w:themeColor="text1"/>
          <w:sz w:val="22"/>
          <w:szCs w:val="22"/>
        </w:rPr>
        <w:lastRenderedPageBreak/>
        <w:t xml:space="preserve">las siguientes razones: </w:t>
      </w:r>
      <w:r w:rsidRPr="00C60BCA">
        <w:rPr>
          <w:rFonts w:ascii="Verdana" w:hAnsi="Verdana" w:cs="Arial"/>
          <w:color w:val="000000" w:themeColor="text1"/>
          <w:sz w:val="22"/>
          <w:szCs w:val="22"/>
          <w:highlight w:val="yellow"/>
        </w:rPr>
        <w:t>XXXXXX</w:t>
      </w:r>
      <w:r w:rsidRPr="00C60BCA">
        <w:rPr>
          <w:rFonts w:ascii="Verdana" w:hAnsi="Verdana" w:cs="Arial"/>
          <w:sz w:val="22"/>
          <w:szCs w:val="22"/>
        </w:rPr>
        <w:t>.</w:t>
      </w:r>
      <w:r w:rsidRPr="00C60BCA">
        <w:rPr>
          <w:rFonts w:ascii="Verdana" w:hAnsi="Verdana" w:cs="Arial"/>
          <w:color w:val="000000" w:themeColor="text1"/>
          <w:sz w:val="22"/>
          <w:szCs w:val="22"/>
        </w:rPr>
        <w:t xml:space="preserve"> </w:t>
      </w:r>
      <w:r w:rsidRPr="00C60BCA">
        <w:rPr>
          <w:rFonts w:ascii="Verdana" w:hAnsi="Verdana" w:cs="Arial"/>
          <w:color w:val="000000" w:themeColor="text1"/>
          <w:sz w:val="22"/>
          <w:szCs w:val="22"/>
          <w:highlight w:val="yellow"/>
        </w:rPr>
        <w:t>Sin perjuicio de lo anterior, la Superintendencia de Industria y Comercio realizó recomendaciones que fueron acogidas por la entidad.</w:t>
      </w:r>
    </w:p>
    <w:p w14:paraId="76288826" w14:textId="77777777" w:rsidR="00E17415" w:rsidRPr="00C60BCA" w:rsidRDefault="00E17415" w:rsidP="00E17415">
      <w:pPr>
        <w:spacing w:line="276" w:lineRule="auto"/>
        <w:ind w:right="-86"/>
        <w:jc w:val="both"/>
        <w:rPr>
          <w:rFonts w:ascii="Verdana" w:hAnsi="Verdana" w:cs="Arial"/>
          <w:sz w:val="22"/>
          <w:szCs w:val="22"/>
        </w:rPr>
      </w:pPr>
    </w:p>
    <w:p w14:paraId="0BFC2314" w14:textId="77777777" w:rsidR="00E17415" w:rsidRPr="00C60BCA" w:rsidRDefault="00E17415" w:rsidP="00E17415">
      <w:pPr>
        <w:spacing w:line="276" w:lineRule="auto"/>
        <w:jc w:val="both"/>
        <w:rPr>
          <w:rFonts w:ascii="Verdana" w:hAnsi="Verdana" w:cs="Arial"/>
          <w:color w:val="000000" w:themeColor="text1"/>
          <w:sz w:val="22"/>
          <w:szCs w:val="22"/>
        </w:rPr>
      </w:pPr>
      <w:r w:rsidRPr="00C60BCA">
        <w:rPr>
          <w:rFonts w:ascii="Verdana" w:hAnsi="Verdana" w:cs="Arial"/>
          <w:sz w:val="22"/>
          <w:szCs w:val="22"/>
        </w:rPr>
        <w:t>Que la Agencia Nacional de Contratación Pública – Colombia Compra Eficiente fijó un cronograma y definió en coordinación con las entidades técnicas o especializadas el procedimiento para implementar los documentos tipo, con el propósito de facilitar su incorporación en el sistema de compra pública. Conforme a ello, las entidades especializadas –</w:t>
      </w:r>
      <w:r w:rsidRPr="00C60BCA">
        <w:rPr>
          <w:rFonts w:ascii="Verdana" w:hAnsi="Verdana" w:cs="Arial"/>
          <w:sz w:val="22"/>
          <w:szCs w:val="22"/>
          <w:highlight w:val="yellow"/>
        </w:rPr>
        <w:t>XXXXXXXX</w:t>
      </w:r>
      <w:r w:rsidRPr="00C60BCA">
        <w:rPr>
          <w:rFonts w:ascii="Verdana" w:hAnsi="Verdana" w:cs="Arial"/>
          <w:sz w:val="22"/>
          <w:szCs w:val="22"/>
        </w:rPr>
        <w:t xml:space="preserve">– y la Agencia Nacional de Contratación Pública, en la mesa de trabajo adelantada virtualmente el </w:t>
      </w:r>
      <w:r w:rsidRPr="00C60BCA">
        <w:rPr>
          <w:rFonts w:ascii="Verdana" w:hAnsi="Verdana" w:cs="Arial"/>
          <w:sz w:val="22"/>
          <w:szCs w:val="22"/>
          <w:highlight w:val="yellow"/>
        </w:rPr>
        <w:t>XXX</w:t>
      </w:r>
      <w:r w:rsidRPr="00C60BCA">
        <w:rPr>
          <w:rFonts w:ascii="Verdana" w:hAnsi="Verdana" w:cs="Arial"/>
          <w:sz w:val="22"/>
          <w:szCs w:val="22"/>
        </w:rPr>
        <w:t xml:space="preserve"> de </w:t>
      </w:r>
      <w:r w:rsidRPr="00C60BCA">
        <w:rPr>
          <w:rFonts w:ascii="Verdana" w:hAnsi="Verdana" w:cs="Arial"/>
          <w:sz w:val="22"/>
          <w:szCs w:val="22"/>
          <w:highlight w:val="yellow"/>
        </w:rPr>
        <w:t>XXX</w:t>
      </w:r>
      <w:r w:rsidRPr="00C60BCA">
        <w:rPr>
          <w:rFonts w:ascii="Verdana" w:hAnsi="Verdana" w:cs="Arial"/>
          <w:sz w:val="22"/>
          <w:szCs w:val="22"/>
        </w:rPr>
        <w:t xml:space="preserve"> de 2025, definieron que la implementación de estos documentos tipo empezaría </w:t>
      </w:r>
      <w:r w:rsidRPr="00C60BCA">
        <w:rPr>
          <w:rFonts w:ascii="Verdana" w:hAnsi="Verdana" w:cs="Arial"/>
          <w:color w:val="000000" w:themeColor="text1"/>
          <w:sz w:val="22"/>
          <w:szCs w:val="22"/>
        </w:rPr>
        <w:t>el XX de XXXXX de 2025.</w:t>
      </w:r>
    </w:p>
    <w:p w14:paraId="62DA60C0" w14:textId="77777777" w:rsidR="00E17415" w:rsidRPr="00C60BCA" w:rsidRDefault="00E17415" w:rsidP="00E17415">
      <w:pPr>
        <w:spacing w:line="276" w:lineRule="auto"/>
        <w:ind w:right="-86"/>
        <w:jc w:val="both"/>
        <w:rPr>
          <w:rFonts w:ascii="Verdana" w:hAnsi="Verdana" w:cs="Arial"/>
          <w:sz w:val="22"/>
          <w:szCs w:val="22"/>
        </w:rPr>
      </w:pPr>
    </w:p>
    <w:p w14:paraId="6EBE7F36" w14:textId="77777777" w:rsidR="00E17415" w:rsidRPr="00C60BCA" w:rsidRDefault="00E17415" w:rsidP="00E17415">
      <w:pPr>
        <w:spacing w:line="276" w:lineRule="auto"/>
        <w:ind w:right="-86"/>
        <w:jc w:val="both"/>
        <w:rPr>
          <w:rFonts w:ascii="Verdana" w:hAnsi="Verdana" w:cs="Arial"/>
          <w:color w:val="000000"/>
          <w:sz w:val="22"/>
          <w:szCs w:val="22"/>
        </w:rPr>
      </w:pPr>
      <w:r w:rsidRPr="00C60BCA">
        <w:rPr>
          <w:rFonts w:ascii="Verdana" w:hAnsi="Verdana" w:cs="Arial"/>
          <w:color w:val="000000" w:themeColor="text1"/>
          <w:sz w:val="22"/>
          <w:szCs w:val="22"/>
        </w:rPr>
        <w:t xml:space="preserve">Que, en mérito de lo expuesto, </w:t>
      </w:r>
    </w:p>
    <w:p w14:paraId="1D23362D" w14:textId="77777777" w:rsidR="00E17415" w:rsidRPr="00C60BCA" w:rsidRDefault="00E17415" w:rsidP="00E17415">
      <w:pPr>
        <w:spacing w:line="276" w:lineRule="auto"/>
        <w:ind w:right="-86"/>
        <w:jc w:val="both"/>
        <w:rPr>
          <w:rFonts w:ascii="Verdana" w:hAnsi="Verdana" w:cs="Arial"/>
          <w:color w:val="000000"/>
          <w:sz w:val="22"/>
          <w:szCs w:val="22"/>
        </w:rPr>
      </w:pPr>
    </w:p>
    <w:p w14:paraId="6AE2240D" w14:textId="77777777" w:rsidR="00E17415" w:rsidRPr="00C60BCA" w:rsidRDefault="00E17415" w:rsidP="00E17415">
      <w:pPr>
        <w:spacing w:line="264" w:lineRule="auto"/>
        <w:jc w:val="center"/>
        <w:rPr>
          <w:rFonts w:ascii="Verdana" w:hAnsi="Verdana" w:cs="Arial"/>
          <w:b/>
          <w:sz w:val="22"/>
          <w:szCs w:val="22"/>
        </w:rPr>
      </w:pPr>
      <w:r w:rsidRPr="00C60BCA">
        <w:rPr>
          <w:rFonts w:ascii="Verdana" w:hAnsi="Verdana" w:cs="Arial"/>
          <w:b/>
          <w:sz w:val="22"/>
          <w:szCs w:val="22"/>
        </w:rPr>
        <w:t>Resuelve:</w:t>
      </w:r>
    </w:p>
    <w:p w14:paraId="7259F977" w14:textId="77777777" w:rsidR="00E17415" w:rsidRPr="00C60BCA" w:rsidRDefault="00E17415" w:rsidP="00E17415">
      <w:pPr>
        <w:spacing w:line="264" w:lineRule="auto"/>
        <w:jc w:val="center"/>
        <w:rPr>
          <w:rFonts w:ascii="Verdana" w:hAnsi="Verdana" w:cs="Arial"/>
          <w:b/>
          <w:sz w:val="22"/>
          <w:szCs w:val="22"/>
        </w:rPr>
      </w:pPr>
    </w:p>
    <w:p w14:paraId="70FDB851" w14:textId="651C8866" w:rsidR="000259A3" w:rsidRPr="00C60BCA" w:rsidRDefault="00E17415" w:rsidP="00E17415">
      <w:pPr>
        <w:jc w:val="both"/>
        <w:rPr>
          <w:rFonts w:ascii="Verdana" w:hAnsi="Verdana" w:cs="Arial"/>
          <w:color w:val="000000" w:themeColor="text1"/>
          <w:sz w:val="22"/>
          <w:szCs w:val="22"/>
        </w:rPr>
      </w:pPr>
      <w:bookmarkStart w:id="1" w:name="_Hlk12529098"/>
      <w:r w:rsidRPr="00C60BCA">
        <w:rPr>
          <w:rFonts w:ascii="Verdana" w:hAnsi="Verdana" w:cs="Arial"/>
          <w:b/>
          <w:bCs/>
          <w:color w:val="000000" w:themeColor="text1"/>
          <w:sz w:val="22"/>
          <w:szCs w:val="22"/>
        </w:rPr>
        <w:t>Artículo 1.</w:t>
      </w:r>
      <w:r w:rsidRPr="00C60BCA">
        <w:rPr>
          <w:rFonts w:ascii="Verdana" w:hAnsi="Verdana" w:cs="Arial"/>
          <w:color w:val="000000" w:themeColor="text1"/>
          <w:sz w:val="22"/>
          <w:szCs w:val="22"/>
        </w:rPr>
        <w:t xml:space="preserve"> </w:t>
      </w:r>
      <w:r w:rsidRPr="00C60BCA">
        <w:rPr>
          <w:rFonts w:ascii="Verdana" w:hAnsi="Verdana" w:cs="Arial"/>
          <w:b/>
          <w:bCs/>
          <w:color w:val="000000" w:themeColor="text1"/>
          <w:sz w:val="22"/>
          <w:szCs w:val="22"/>
        </w:rPr>
        <w:t xml:space="preserve">Objeto. </w:t>
      </w:r>
      <w:r w:rsidR="00A86BAA" w:rsidRPr="00C60BCA">
        <w:rPr>
          <w:rFonts w:ascii="Verdana" w:hAnsi="Verdana" w:cs="Arial"/>
          <w:color w:val="000000" w:themeColor="text1"/>
          <w:sz w:val="22"/>
          <w:szCs w:val="22"/>
        </w:rPr>
        <w:t>A</w:t>
      </w:r>
      <w:r w:rsidR="00441657">
        <w:rPr>
          <w:rFonts w:ascii="Verdana" w:hAnsi="Verdana" w:cs="Arial"/>
          <w:color w:val="000000" w:themeColor="text1"/>
          <w:sz w:val="22"/>
          <w:szCs w:val="22"/>
        </w:rPr>
        <w:t>d</w:t>
      </w:r>
      <w:r w:rsidR="007259EB">
        <w:rPr>
          <w:rFonts w:ascii="Verdana" w:hAnsi="Verdana" w:cs="Arial"/>
          <w:color w:val="000000" w:themeColor="text1"/>
          <w:sz w:val="22"/>
          <w:szCs w:val="22"/>
        </w:rPr>
        <w:t>optar</w:t>
      </w:r>
      <w:r w:rsidR="00A86BAA" w:rsidRPr="00C60BCA">
        <w:rPr>
          <w:rFonts w:ascii="Verdana" w:hAnsi="Verdana" w:cs="Arial"/>
          <w:color w:val="000000" w:themeColor="text1"/>
          <w:sz w:val="22"/>
          <w:szCs w:val="22"/>
        </w:rPr>
        <w:t xml:space="preserve"> </w:t>
      </w:r>
      <w:r w:rsidR="00D55A0C">
        <w:rPr>
          <w:rFonts w:ascii="Verdana" w:hAnsi="Verdana" w:cs="Arial"/>
          <w:color w:val="000000" w:themeColor="text1"/>
          <w:sz w:val="22"/>
          <w:szCs w:val="22"/>
        </w:rPr>
        <w:t xml:space="preserve">la versión 2 – de </w:t>
      </w:r>
      <w:r w:rsidR="00A86BAA" w:rsidRPr="00C60BCA">
        <w:rPr>
          <w:rFonts w:ascii="Verdana" w:hAnsi="Verdana" w:cs="Arial"/>
          <w:color w:val="000000" w:themeColor="text1"/>
          <w:sz w:val="22"/>
          <w:szCs w:val="22"/>
        </w:rPr>
        <w:t>los documentos tipo</w:t>
      </w:r>
      <w:r w:rsidR="00A86BAA" w:rsidRPr="00C60BCA">
        <w:rPr>
          <w:rFonts w:ascii="Verdana" w:hAnsi="Verdana" w:cs="Arial"/>
          <w:b/>
          <w:bCs/>
          <w:color w:val="000000" w:themeColor="text1"/>
          <w:sz w:val="22"/>
          <w:szCs w:val="22"/>
        </w:rPr>
        <w:t xml:space="preserve"> </w:t>
      </w:r>
      <w:r w:rsidR="006F717D" w:rsidRPr="00C60BCA">
        <w:rPr>
          <w:rFonts w:ascii="Verdana" w:hAnsi="Verdana" w:cs="Arial"/>
          <w:color w:val="000000" w:themeColor="text1"/>
          <w:sz w:val="22"/>
          <w:szCs w:val="22"/>
        </w:rPr>
        <w:t xml:space="preserve">para los procesos de contratación que se adelantan bajo la modalidad de concurso de méritos </w:t>
      </w:r>
      <w:r w:rsidR="00B376CC" w:rsidRPr="00C60BCA">
        <w:rPr>
          <w:rFonts w:ascii="Verdana" w:hAnsi="Verdana" w:cs="Arial"/>
          <w:color w:val="000000" w:themeColor="text1"/>
          <w:sz w:val="22"/>
          <w:szCs w:val="22"/>
        </w:rPr>
        <w:t xml:space="preserve">para contratar la interventoría </w:t>
      </w:r>
      <w:r w:rsidR="00E5360E" w:rsidRPr="00C60BCA">
        <w:rPr>
          <w:rFonts w:ascii="Verdana" w:hAnsi="Verdana" w:cs="Arial"/>
          <w:color w:val="000000" w:themeColor="text1"/>
          <w:sz w:val="22"/>
          <w:szCs w:val="22"/>
        </w:rPr>
        <w:t>de obras públicas de infraestructura social</w:t>
      </w:r>
      <w:r w:rsidR="00D73181">
        <w:rPr>
          <w:rFonts w:ascii="Verdana" w:eastAsia="Symbol" w:hAnsi="Verdana" w:cs="Symbol"/>
          <w:color w:val="000000" w:themeColor="text1"/>
          <w:sz w:val="22"/>
          <w:szCs w:val="22"/>
        </w:rPr>
        <w:t>;</w:t>
      </w:r>
      <w:r w:rsidR="00E5360E" w:rsidRPr="00C60BCA">
        <w:rPr>
          <w:rFonts w:ascii="Verdana" w:hAnsi="Verdana" w:cs="Arial"/>
          <w:color w:val="000000" w:themeColor="text1"/>
          <w:sz w:val="22"/>
          <w:szCs w:val="22"/>
        </w:rPr>
        <w:t xml:space="preserve"> que agrupa los sectores de educación, salud, cultura, recreación y deporte, institucional y </w:t>
      </w:r>
      <w:r w:rsidR="00317F1E">
        <w:rPr>
          <w:rFonts w:ascii="Verdana" w:hAnsi="Verdana" w:cs="Arial"/>
          <w:color w:val="000000" w:themeColor="text1"/>
          <w:sz w:val="22"/>
          <w:szCs w:val="22"/>
        </w:rPr>
        <w:t xml:space="preserve">vivienda. </w:t>
      </w:r>
    </w:p>
    <w:p w14:paraId="063FEC73" w14:textId="77777777" w:rsidR="00E17415" w:rsidRPr="00C60BCA" w:rsidRDefault="00E17415" w:rsidP="00E17415">
      <w:pPr>
        <w:spacing w:line="276" w:lineRule="auto"/>
        <w:jc w:val="both"/>
        <w:rPr>
          <w:rFonts w:ascii="Verdana" w:hAnsi="Verdana" w:cs="Arial"/>
          <w:b/>
          <w:color w:val="000000"/>
          <w:sz w:val="22"/>
          <w:szCs w:val="22"/>
        </w:rPr>
      </w:pPr>
    </w:p>
    <w:p w14:paraId="5D5EB691" w14:textId="64EC080E" w:rsidR="00E17415" w:rsidRPr="00C60BCA" w:rsidRDefault="00E17415" w:rsidP="00E17415">
      <w:pPr>
        <w:spacing w:line="276" w:lineRule="auto"/>
        <w:ind w:right="-86"/>
        <w:jc w:val="both"/>
        <w:rPr>
          <w:rFonts w:ascii="Verdana" w:hAnsi="Verdana" w:cs="Arial"/>
          <w:color w:val="000000"/>
          <w:sz w:val="22"/>
          <w:szCs w:val="22"/>
        </w:rPr>
      </w:pPr>
      <w:r w:rsidRPr="00C60BCA">
        <w:rPr>
          <w:rFonts w:ascii="Verdana" w:hAnsi="Verdana" w:cs="Arial"/>
          <w:b/>
          <w:bCs/>
          <w:color w:val="000000" w:themeColor="text1"/>
          <w:sz w:val="22"/>
          <w:szCs w:val="22"/>
        </w:rPr>
        <w:t xml:space="preserve">Artículo 2. Desarrollo e implementación de los documentos tipo. </w:t>
      </w:r>
      <w:r w:rsidRPr="00C60BCA">
        <w:rPr>
          <w:rFonts w:ascii="Verdana" w:hAnsi="Verdana" w:cs="Arial"/>
          <w:color w:val="000000" w:themeColor="text1"/>
          <w:sz w:val="22"/>
          <w:szCs w:val="22"/>
        </w:rPr>
        <w:t>Los documentos tipo contienen parámetros obligatorios para las Entidades Estatales sometidas al Estatuto General de Contratación de la Administración Pública que adelanten procesos de selección</w:t>
      </w:r>
      <w:r w:rsidR="002C0A3B" w:rsidRPr="00C60BCA">
        <w:rPr>
          <w:rFonts w:ascii="Verdana" w:hAnsi="Verdana" w:cs="Arial"/>
          <w:color w:val="000000" w:themeColor="text1"/>
          <w:sz w:val="22"/>
          <w:szCs w:val="22"/>
        </w:rPr>
        <w:t xml:space="preserve"> de concurso de méritos para contratar la interventoría </w:t>
      </w:r>
      <w:r w:rsidR="007D6563" w:rsidRPr="00C60BCA">
        <w:rPr>
          <w:rFonts w:ascii="Verdana" w:hAnsi="Verdana" w:cs="Arial"/>
          <w:color w:val="000000" w:themeColor="text1"/>
          <w:sz w:val="22"/>
          <w:szCs w:val="22"/>
        </w:rPr>
        <w:t>de obras públicas de infraestructura social</w:t>
      </w:r>
      <w:r w:rsidRPr="00C60BCA">
        <w:rPr>
          <w:rFonts w:ascii="Verdana" w:hAnsi="Verdana" w:cs="Arial"/>
          <w:color w:val="000000" w:themeColor="text1"/>
          <w:sz w:val="22"/>
          <w:szCs w:val="22"/>
        </w:rPr>
        <w:t xml:space="preserve">. Estos documentos son: </w:t>
      </w:r>
    </w:p>
    <w:p w14:paraId="158EC642" w14:textId="77777777" w:rsidR="00E17415" w:rsidRPr="00C60BCA" w:rsidRDefault="00E17415" w:rsidP="00E17415">
      <w:pPr>
        <w:tabs>
          <w:tab w:val="left" w:pos="3686"/>
        </w:tabs>
        <w:spacing w:line="276" w:lineRule="auto"/>
        <w:ind w:right="1920"/>
        <w:rPr>
          <w:rFonts w:ascii="Verdana" w:hAnsi="Verdana" w:cs="Arial"/>
          <w:b/>
          <w:bCs/>
          <w:color w:val="000000"/>
          <w:sz w:val="22"/>
          <w:szCs w:val="22"/>
        </w:rPr>
      </w:pPr>
    </w:p>
    <w:p w14:paraId="21588395" w14:textId="77777777" w:rsidR="00E17415" w:rsidRPr="00C60BCA" w:rsidRDefault="00E17415" w:rsidP="00E17415">
      <w:pPr>
        <w:pStyle w:val="Prrafodelista"/>
        <w:numPr>
          <w:ilvl w:val="0"/>
          <w:numId w:val="1"/>
        </w:numPr>
        <w:spacing w:line="276" w:lineRule="auto"/>
        <w:ind w:right="-86"/>
        <w:rPr>
          <w:rFonts w:ascii="Verdana" w:hAnsi="Verdana" w:cs="Arial"/>
          <w:b/>
          <w:bCs/>
          <w:color w:val="000000"/>
          <w:sz w:val="22"/>
          <w:szCs w:val="22"/>
          <w:lang w:val="es-CO" w:eastAsia="en-US"/>
        </w:rPr>
      </w:pPr>
      <w:r w:rsidRPr="00C60BCA">
        <w:rPr>
          <w:rFonts w:ascii="Verdana" w:hAnsi="Verdana" w:cs="Arial"/>
          <w:b/>
          <w:bCs/>
          <w:color w:val="000000" w:themeColor="text1"/>
          <w:sz w:val="22"/>
          <w:szCs w:val="22"/>
          <w:lang w:val="es-CO" w:eastAsia="en-US"/>
        </w:rPr>
        <w:t xml:space="preserve">DOCUMENTO BASE DEL PLIEGO TIPO </w:t>
      </w:r>
    </w:p>
    <w:p w14:paraId="5BBCA80B" w14:textId="77777777" w:rsidR="00E17415" w:rsidRPr="00C60BCA" w:rsidRDefault="00E17415" w:rsidP="00E17415">
      <w:pPr>
        <w:spacing w:line="276" w:lineRule="auto"/>
        <w:ind w:right="-86"/>
        <w:contextualSpacing/>
        <w:rPr>
          <w:rFonts w:ascii="Verdana" w:hAnsi="Verdana" w:cs="Arial"/>
          <w:b/>
          <w:bCs/>
          <w:color w:val="000000" w:themeColor="text1"/>
          <w:sz w:val="22"/>
          <w:szCs w:val="22"/>
          <w:lang w:val="es-CO" w:eastAsia="en-US"/>
        </w:rPr>
      </w:pPr>
    </w:p>
    <w:p w14:paraId="6F87A1AF" w14:textId="77777777" w:rsidR="00E17415" w:rsidRPr="00C60BCA" w:rsidRDefault="00E17415" w:rsidP="00E17415">
      <w:pPr>
        <w:pStyle w:val="Prrafodelista"/>
        <w:numPr>
          <w:ilvl w:val="0"/>
          <w:numId w:val="1"/>
        </w:numPr>
        <w:tabs>
          <w:tab w:val="left" w:pos="426"/>
        </w:tabs>
        <w:spacing w:line="276" w:lineRule="auto"/>
        <w:contextualSpacing w:val="0"/>
        <w:rPr>
          <w:rFonts w:ascii="Verdana" w:hAnsi="Verdana" w:cs="Arial"/>
          <w:b/>
          <w:bCs/>
          <w:sz w:val="22"/>
          <w:szCs w:val="22"/>
          <w:lang w:val="es-CO"/>
        </w:rPr>
      </w:pPr>
      <w:r w:rsidRPr="00C60BCA">
        <w:rPr>
          <w:rFonts w:ascii="Verdana" w:hAnsi="Verdana" w:cs="Arial"/>
          <w:b/>
          <w:bCs/>
          <w:sz w:val="22"/>
          <w:szCs w:val="22"/>
        </w:rPr>
        <w:t xml:space="preserve">ANEXOS </w:t>
      </w:r>
    </w:p>
    <w:p w14:paraId="4152A1CC" w14:textId="77777777" w:rsidR="00E17415" w:rsidRPr="00C60BCA" w:rsidRDefault="00E17415" w:rsidP="00E17415">
      <w:pPr>
        <w:spacing w:line="276" w:lineRule="auto"/>
        <w:rPr>
          <w:rFonts w:ascii="Verdana" w:eastAsia="Arial" w:hAnsi="Verdana"/>
          <w:sz w:val="22"/>
          <w:szCs w:val="22"/>
          <w:lang w:val="es-CO"/>
        </w:rPr>
      </w:pPr>
    </w:p>
    <w:p w14:paraId="1A15E641" w14:textId="77777777" w:rsidR="00E17415" w:rsidRPr="00C60BCA" w:rsidRDefault="00E17415" w:rsidP="00E17415">
      <w:pPr>
        <w:pStyle w:val="Invias-VietaAlfabetica"/>
        <w:numPr>
          <w:ilvl w:val="3"/>
          <w:numId w:val="1"/>
        </w:numPr>
        <w:tabs>
          <w:tab w:val="left" w:pos="426"/>
        </w:tabs>
        <w:spacing w:before="0" w:after="0" w:line="276" w:lineRule="auto"/>
        <w:ind w:left="720" w:hanging="270"/>
        <w:rPr>
          <w:rFonts w:ascii="Verdana" w:eastAsia="Arial" w:hAnsi="Verdana" w:cs="Arial"/>
          <w:color w:val="000000" w:themeColor="text1"/>
          <w:sz w:val="22"/>
          <w:szCs w:val="22"/>
        </w:rPr>
      </w:pPr>
      <w:r w:rsidRPr="00C60BCA">
        <w:rPr>
          <w:rFonts w:ascii="Verdana" w:hAnsi="Verdana" w:cs="Arial"/>
          <w:sz w:val="22"/>
          <w:szCs w:val="22"/>
        </w:rPr>
        <w:t>Anexo 1 – Anexo Técnico</w:t>
      </w:r>
    </w:p>
    <w:p w14:paraId="552F089B" w14:textId="77777777" w:rsidR="00E17415" w:rsidRPr="00C60BCA" w:rsidRDefault="00E17415" w:rsidP="00E17415">
      <w:pPr>
        <w:pStyle w:val="Invias-VietaAlfabetica"/>
        <w:numPr>
          <w:ilvl w:val="3"/>
          <w:numId w:val="1"/>
        </w:numPr>
        <w:tabs>
          <w:tab w:val="left" w:pos="426"/>
        </w:tabs>
        <w:spacing w:before="0" w:after="0" w:line="276" w:lineRule="auto"/>
        <w:ind w:left="720" w:hanging="270"/>
        <w:rPr>
          <w:rFonts w:ascii="Verdana" w:hAnsi="Verdana" w:cs="Arial"/>
          <w:sz w:val="22"/>
          <w:szCs w:val="22"/>
        </w:rPr>
      </w:pPr>
      <w:r w:rsidRPr="00C60BCA">
        <w:rPr>
          <w:rFonts w:ascii="Verdana" w:hAnsi="Verdana" w:cs="Arial"/>
          <w:sz w:val="22"/>
          <w:szCs w:val="22"/>
        </w:rPr>
        <w:t xml:space="preserve">Anexo 2 – Cronograma </w:t>
      </w:r>
    </w:p>
    <w:p w14:paraId="0869F69B" w14:textId="77777777" w:rsidR="00E17415" w:rsidRPr="00C60BCA" w:rsidRDefault="00E17415" w:rsidP="00E17415">
      <w:pPr>
        <w:pStyle w:val="Invias-VietaAlfabetica"/>
        <w:numPr>
          <w:ilvl w:val="3"/>
          <w:numId w:val="1"/>
        </w:numPr>
        <w:tabs>
          <w:tab w:val="left" w:pos="426"/>
        </w:tabs>
        <w:spacing w:before="0" w:after="0" w:line="276" w:lineRule="auto"/>
        <w:ind w:left="720" w:hanging="270"/>
        <w:rPr>
          <w:rFonts w:ascii="Verdana" w:hAnsi="Verdana" w:cs="Arial"/>
          <w:sz w:val="22"/>
          <w:szCs w:val="22"/>
        </w:rPr>
      </w:pPr>
      <w:r w:rsidRPr="00C60BCA">
        <w:rPr>
          <w:rFonts w:ascii="Verdana" w:hAnsi="Verdana" w:cs="Arial"/>
          <w:sz w:val="22"/>
          <w:szCs w:val="22"/>
        </w:rPr>
        <w:t>Anexo 3 – Glosario</w:t>
      </w:r>
    </w:p>
    <w:p w14:paraId="6426590B" w14:textId="77777777" w:rsidR="00E17415" w:rsidRPr="00C60BCA" w:rsidRDefault="00E17415" w:rsidP="00E17415">
      <w:pPr>
        <w:pStyle w:val="Invias-VietaAlfabetica"/>
        <w:numPr>
          <w:ilvl w:val="3"/>
          <w:numId w:val="1"/>
        </w:numPr>
        <w:tabs>
          <w:tab w:val="left" w:pos="426"/>
        </w:tabs>
        <w:spacing w:before="0" w:after="0" w:line="276" w:lineRule="auto"/>
        <w:ind w:left="720" w:hanging="270"/>
        <w:rPr>
          <w:rFonts w:ascii="Verdana" w:hAnsi="Verdana" w:cs="Arial"/>
          <w:sz w:val="22"/>
          <w:szCs w:val="22"/>
        </w:rPr>
      </w:pPr>
      <w:r w:rsidRPr="00C60BCA">
        <w:rPr>
          <w:rFonts w:ascii="Verdana" w:hAnsi="Verdana" w:cs="Arial"/>
          <w:sz w:val="22"/>
          <w:szCs w:val="22"/>
        </w:rPr>
        <w:t>Anexo 4 – Pacto de Transparencia</w:t>
      </w:r>
    </w:p>
    <w:p w14:paraId="2E32F8CD" w14:textId="4E1EB857" w:rsidR="00E17415" w:rsidRPr="00C60BCA" w:rsidRDefault="00E17415" w:rsidP="00E17415">
      <w:pPr>
        <w:pStyle w:val="Invias-VietaAlfabetica"/>
        <w:numPr>
          <w:ilvl w:val="3"/>
          <w:numId w:val="1"/>
        </w:numPr>
        <w:tabs>
          <w:tab w:val="left" w:pos="426"/>
        </w:tabs>
        <w:spacing w:before="0" w:after="0" w:line="276" w:lineRule="auto"/>
        <w:ind w:left="720" w:hanging="270"/>
        <w:rPr>
          <w:rFonts w:ascii="Verdana" w:eastAsia="Arial" w:hAnsi="Verdana" w:cs="Arial"/>
          <w:color w:val="000000" w:themeColor="text1"/>
          <w:sz w:val="22"/>
          <w:szCs w:val="22"/>
        </w:rPr>
      </w:pPr>
      <w:r w:rsidRPr="00C60BCA">
        <w:rPr>
          <w:rFonts w:ascii="Verdana" w:hAnsi="Verdana" w:cs="Arial"/>
          <w:sz w:val="22"/>
          <w:szCs w:val="22"/>
        </w:rPr>
        <w:t>Anexo 5 – Minuta del Contrato</w:t>
      </w:r>
      <w:r w:rsidR="007D6563" w:rsidRPr="00C60BCA">
        <w:rPr>
          <w:rFonts w:ascii="Verdana" w:hAnsi="Verdana" w:cs="Arial"/>
          <w:sz w:val="22"/>
          <w:szCs w:val="22"/>
        </w:rPr>
        <w:t xml:space="preserve"> de Interventoría </w:t>
      </w:r>
    </w:p>
    <w:p w14:paraId="747FA956" w14:textId="77777777" w:rsidR="00E17415" w:rsidRPr="00C60BCA" w:rsidRDefault="00E17415" w:rsidP="00E17415">
      <w:pPr>
        <w:spacing w:line="276" w:lineRule="auto"/>
        <w:rPr>
          <w:rFonts w:ascii="Verdana" w:hAnsi="Verdana" w:cs="Arial"/>
          <w:color w:val="000000" w:themeColor="text1"/>
          <w:sz w:val="22"/>
          <w:szCs w:val="22"/>
          <w:lang w:val="es-CO"/>
        </w:rPr>
      </w:pPr>
    </w:p>
    <w:p w14:paraId="6090326A" w14:textId="77777777" w:rsidR="00E17415" w:rsidRPr="00C60BCA" w:rsidRDefault="00E17415" w:rsidP="00E17415">
      <w:pPr>
        <w:pStyle w:val="Captulo9"/>
        <w:numPr>
          <w:ilvl w:val="0"/>
          <w:numId w:val="1"/>
        </w:numPr>
        <w:spacing w:after="0"/>
        <w:rPr>
          <w:rFonts w:ascii="Verdana" w:eastAsia="Arial" w:hAnsi="Verdana"/>
          <w:sz w:val="22"/>
          <w:szCs w:val="22"/>
        </w:rPr>
      </w:pPr>
      <w:r w:rsidRPr="00C60BCA">
        <w:rPr>
          <w:rFonts w:ascii="Verdana" w:hAnsi="Verdana"/>
          <w:sz w:val="22"/>
          <w:szCs w:val="22"/>
        </w:rPr>
        <w:t>FORMATOS</w:t>
      </w:r>
    </w:p>
    <w:p w14:paraId="16EAF52F" w14:textId="77777777" w:rsidR="00E17415" w:rsidRPr="00C60BCA" w:rsidRDefault="00E17415" w:rsidP="00E17415">
      <w:pPr>
        <w:pStyle w:val="Captulo9"/>
        <w:numPr>
          <w:ilvl w:val="0"/>
          <w:numId w:val="0"/>
        </w:numPr>
        <w:spacing w:after="0"/>
        <w:ind w:left="720"/>
        <w:rPr>
          <w:rFonts w:ascii="Verdana" w:eastAsia="Arial" w:hAnsi="Verdana"/>
          <w:sz w:val="22"/>
          <w:szCs w:val="22"/>
        </w:rPr>
      </w:pPr>
    </w:p>
    <w:p w14:paraId="4ECCDC66" w14:textId="77777777" w:rsidR="00E17415" w:rsidRPr="00C60BCA" w:rsidRDefault="00E17415" w:rsidP="00E17415">
      <w:pPr>
        <w:pStyle w:val="Invias-VietaAlfabetica"/>
        <w:numPr>
          <w:ilvl w:val="0"/>
          <w:numId w:val="4"/>
        </w:numPr>
        <w:tabs>
          <w:tab w:val="left" w:pos="426"/>
        </w:tabs>
        <w:spacing w:before="0" w:after="0" w:line="276" w:lineRule="auto"/>
        <w:rPr>
          <w:rFonts w:ascii="Verdana" w:eastAsia="Arial" w:hAnsi="Verdana" w:cs="Arial"/>
          <w:color w:val="000000" w:themeColor="text1"/>
          <w:sz w:val="22"/>
          <w:szCs w:val="22"/>
        </w:rPr>
      </w:pPr>
      <w:r w:rsidRPr="00C60BCA">
        <w:rPr>
          <w:rFonts w:ascii="Verdana" w:hAnsi="Verdana" w:cs="Arial"/>
          <w:sz w:val="22"/>
          <w:szCs w:val="22"/>
        </w:rPr>
        <w:t>Formato 1 – Carta de presentación de la oferta</w:t>
      </w:r>
    </w:p>
    <w:p w14:paraId="2430041B" w14:textId="55C953DB" w:rsidR="00E17415" w:rsidRPr="00C60BCA" w:rsidRDefault="00E17415" w:rsidP="00E17415">
      <w:pPr>
        <w:pStyle w:val="Invias-VietaAlfabetica"/>
        <w:numPr>
          <w:ilvl w:val="0"/>
          <w:numId w:val="4"/>
        </w:numPr>
        <w:tabs>
          <w:tab w:val="left" w:pos="426"/>
        </w:tabs>
        <w:spacing w:before="0" w:after="0" w:line="276" w:lineRule="auto"/>
        <w:rPr>
          <w:rFonts w:ascii="Verdana" w:eastAsia="Arial" w:hAnsi="Verdana" w:cs="Arial"/>
          <w:color w:val="000000" w:themeColor="text1"/>
          <w:sz w:val="22"/>
          <w:szCs w:val="22"/>
        </w:rPr>
      </w:pPr>
      <w:r w:rsidRPr="00C60BCA">
        <w:rPr>
          <w:rFonts w:ascii="Verdana" w:hAnsi="Verdana" w:cs="Arial"/>
          <w:sz w:val="22"/>
          <w:szCs w:val="22"/>
        </w:rPr>
        <w:t>Formato 2 – Conformación de Proponente Plural</w:t>
      </w:r>
      <w:r w:rsidR="0063568D">
        <w:rPr>
          <w:rFonts w:ascii="Verdana" w:hAnsi="Verdana" w:cs="Arial"/>
          <w:sz w:val="22"/>
          <w:szCs w:val="22"/>
        </w:rPr>
        <w:t xml:space="preserve"> (Formato 2</w:t>
      </w:r>
      <w:r w:rsidR="00621547">
        <w:rPr>
          <w:rFonts w:ascii="Verdana" w:hAnsi="Verdana" w:cs="Arial"/>
          <w:sz w:val="22"/>
          <w:szCs w:val="22"/>
        </w:rPr>
        <w:t>A</w:t>
      </w:r>
      <w:r w:rsidR="0063568D">
        <w:rPr>
          <w:rFonts w:ascii="Verdana" w:hAnsi="Verdana" w:cs="Arial"/>
          <w:sz w:val="22"/>
          <w:szCs w:val="22"/>
        </w:rPr>
        <w:t>- Consorcios) (Formato 2B- Unión temporal)</w:t>
      </w:r>
    </w:p>
    <w:p w14:paraId="611A4B7C" w14:textId="77777777" w:rsidR="00E17415" w:rsidRPr="00C60BCA" w:rsidRDefault="00E17415" w:rsidP="00E17415">
      <w:pPr>
        <w:pStyle w:val="Invias-VietaAlfabetica"/>
        <w:numPr>
          <w:ilvl w:val="0"/>
          <w:numId w:val="4"/>
        </w:numPr>
        <w:tabs>
          <w:tab w:val="left" w:pos="426"/>
        </w:tabs>
        <w:spacing w:before="0" w:after="0" w:line="276" w:lineRule="auto"/>
        <w:rPr>
          <w:rFonts w:ascii="Verdana" w:eastAsia="Arial" w:hAnsi="Verdana" w:cs="Arial"/>
          <w:color w:val="000000" w:themeColor="text1"/>
          <w:sz w:val="22"/>
          <w:szCs w:val="22"/>
        </w:rPr>
      </w:pPr>
      <w:r w:rsidRPr="00C60BCA">
        <w:rPr>
          <w:rFonts w:ascii="Verdana" w:hAnsi="Verdana" w:cs="Arial"/>
          <w:sz w:val="22"/>
          <w:szCs w:val="22"/>
        </w:rPr>
        <w:t>Formato 3 – Experiencia</w:t>
      </w:r>
    </w:p>
    <w:p w14:paraId="48CEBF6B" w14:textId="742061FA" w:rsidR="00E17415" w:rsidRPr="00C60BCA" w:rsidRDefault="00E17415" w:rsidP="00E17415">
      <w:pPr>
        <w:pStyle w:val="Invias-VietaAlfabetica"/>
        <w:numPr>
          <w:ilvl w:val="0"/>
          <w:numId w:val="4"/>
        </w:numPr>
        <w:tabs>
          <w:tab w:val="left" w:pos="426"/>
        </w:tabs>
        <w:spacing w:before="0" w:after="0" w:line="276" w:lineRule="auto"/>
        <w:rPr>
          <w:rFonts w:ascii="Verdana" w:hAnsi="Verdana" w:cs="Arial"/>
          <w:sz w:val="22"/>
          <w:szCs w:val="22"/>
        </w:rPr>
      </w:pPr>
      <w:r w:rsidRPr="00C60BCA">
        <w:rPr>
          <w:rFonts w:ascii="Verdana" w:hAnsi="Verdana" w:cs="Arial"/>
          <w:sz w:val="22"/>
          <w:szCs w:val="22"/>
        </w:rPr>
        <w:t xml:space="preserve">Formato 4 – Capacidad Financiera y organizacional </w:t>
      </w:r>
      <w:r w:rsidR="009C1EFD" w:rsidRPr="00C60BCA">
        <w:rPr>
          <w:rFonts w:ascii="Verdana" w:hAnsi="Verdana" w:cs="Arial"/>
          <w:sz w:val="22"/>
          <w:szCs w:val="22"/>
        </w:rPr>
        <w:t xml:space="preserve">para </w:t>
      </w:r>
      <w:r w:rsidRPr="00C60BCA">
        <w:rPr>
          <w:rFonts w:ascii="Verdana" w:hAnsi="Verdana" w:cs="Arial"/>
          <w:sz w:val="22"/>
          <w:szCs w:val="22"/>
        </w:rPr>
        <w:t>extranjeros</w:t>
      </w:r>
    </w:p>
    <w:p w14:paraId="0E357586" w14:textId="0C309F1B" w:rsidR="00E17415" w:rsidRPr="00C60BCA" w:rsidRDefault="00E17415" w:rsidP="00E17415">
      <w:pPr>
        <w:pStyle w:val="Invias-VietaAlfabetica"/>
        <w:numPr>
          <w:ilvl w:val="0"/>
          <w:numId w:val="4"/>
        </w:numPr>
        <w:tabs>
          <w:tab w:val="left" w:pos="426"/>
        </w:tabs>
        <w:spacing w:before="0" w:after="0" w:line="276" w:lineRule="auto"/>
        <w:rPr>
          <w:rFonts w:ascii="Verdana" w:hAnsi="Verdana" w:cs="Arial"/>
          <w:sz w:val="22"/>
          <w:szCs w:val="22"/>
        </w:rPr>
      </w:pPr>
      <w:r w:rsidRPr="00C60BCA">
        <w:rPr>
          <w:rFonts w:ascii="Verdana" w:hAnsi="Verdana" w:cs="Arial"/>
          <w:sz w:val="22"/>
          <w:szCs w:val="22"/>
        </w:rPr>
        <w:t xml:space="preserve">Formato </w:t>
      </w:r>
      <w:r w:rsidR="009C1EFD" w:rsidRPr="00C60BCA">
        <w:rPr>
          <w:rFonts w:ascii="Verdana" w:hAnsi="Verdana" w:cs="Arial"/>
          <w:sz w:val="22"/>
          <w:szCs w:val="22"/>
        </w:rPr>
        <w:t>5</w:t>
      </w:r>
      <w:r w:rsidRPr="00C60BCA">
        <w:rPr>
          <w:rFonts w:ascii="Verdana" w:hAnsi="Verdana" w:cs="Arial"/>
          <w:sz w:val="22"/>
          <w:szCs w:val="22"/>
        </w:rPr>
        <w:t xml:space="preserve"> – Pagos al Sistema de Seguridad Social y Aportes Legales</w:t>
      </w:r>
    </w:p>
    <w:p w14:paraId="3DEB765E" w14:textId="73E976B9" w:rsidR="00E17415" w:rsidRPr="00C60BCA" w:rsidRDefault="00E17415" w:rsidP="00E17415">
      <w:pPr>
        <w:pStyle w:val="Prrafodelista"/>
        <w:numPr>
          <w:ilvl w:val="0"/>
          <w:numId w:val="4"/>
        </w:numPr>
        <w:spacing w:line="276" w:lineRule="auto"/>
        <w:contextualSpacing w:val="0"/>
        <w:jc w:val="both"/>
        <w:rPr>
          <w:rFonts w:ascii="Verdana" w:eastAsia="Arial" w:hAnsi="Verdana" w:cs="Arial"/>
          <w:color w:val="000000" w:themeColor="text1"/>
          <w:sz w:val="22"/>
          <w:szCs w:val="22"/>
          <w:lang w:val="es-CO"/>
        </w:rPr>
      </w:pPr>
      <w:r w:rsidRPr="00C60BCA">
        <w:rPr>
          <w:rFonts w:ascii="Verdana" w:eastAsia="Arial" w:hAnsi="Verdana" w:cs="Arial"/>
          <w:color w:val="000000" w:themeColor="text1"/>
          <w:sz w:val="22"/>
          <w:szCs w:val="22"/>
          <w:lang w:val="es-CO"/>
        </w:rPr>
        <w:t xml:space="preserve">Formato </w:t>
      </w:r>
      <w:r w:rsidR="009C1EFD" w:rsidRPr="00C60BCA">
        <w:rPr>
          <w:rFonts w:ascii="Verdana" w:eastAsia="Arial" w:hAnsi="Verdana" w:cs="Arial"/>
          <w:color w:val="000000" w:themeColor="text1"/>
          <w:sz w:val="22"/>
          <w:szCs w:val="22"/>
          <w:lang w:val="es-CO"/>
        </w:rPr>
        <w:t>6</w:t>
      </w:r>
      <w:r w:rsidRPr="00C60BCA">
        <w:rPr>
          <w:rFonts w:ascii="Verdana" w:eastAsia="Arial" w:hAnsi="Verdana" w:cs="Arial"/>
          <w:color w:val="000000" w:themeColor="text1"/>
          <w:sz w:val="22"/>
          <w:szCs w:val="22"/>
          <w:lang w:val="es-CO"/>
        </w:rPr>
        <w:t xml:space="preserve"> – Vinculación de personas </w:t>
      </w:r>
      <w:r w:rsidR="00B76BBB" w:rsidRPr="00C60BCA">
        <w:rPr>
          <w:rFonts w:ascii="Verdana" w:eastAsia="Arial" w:hAnsi="Verdana" w:cs="Arial"/>
          <w:color w:val="000000" w:themeColor="text1"/>
          <w:sz w:val="22"/>
          <w:szCs w:val="22"/>
          <w:lang w:val="es-CO"/>
        </w:rPr>
        <w:t>en condición de</w:t>
      </w:r>
      <w:r w:rsidRPr="00C60BCA">
        <w:rPr>
          <w:rFonts w:ascii="Verdana" w:eastAsia="Arial" w:hAnsi="Verdana" w:cs="Arial"/>
          <w:color w:val="000000" w:themeColor="text1"/>
          <w:sz w:val="22"/>
          <w:szCs w:val="22"/>
          <w:lang w:val="es-CO"/>
        </w:rPr>
        <w:t xml:space="preserve"> discapacidad</w:t>
      </w:r>
    </w:p>
    <w:p w14:paraId="14690DE6" w14:textId="18802644" w:rsidR="00EF1994" w:rsidRPr="00C60BCA" w:rsidRDefault="00EF1994" w:rsidP="00E17415">
      <w:pPr>
        <w:pStyle w:val="Prrafodelista"/>
        <w:numPr>
          <w:ilvl w:val="0"/>
          <w:numId w:val="4"/>
        </w:numPr>
        <w:spacing w:line="276" w:lineRule="auto"/>
        <w:contextualSpacing w:val="0"/>
        <w:jc w:val="both"/>
        <w:rPr>
          <w:rFonts w:ascii="Verdana" w:eastAsia="Arial" w:hAnsi="Verdana" w:cs="Arial"/>
          <w:color w:val="000000" w:themeColor="text1"/>
          <w:sz w:val="22"/>
          <w:szCs w:val="22"/>
          <w:lang w:val="es-CO"/>
        </w:rPr>
      </w:pPr>
      <w:r w:rsidRPr="00C60BCA">
        <w:rPr>
          <w:rFonts w:ascii="Verdana" w:eastAsia="Arial" w:hAnsi="Verdana" w:cs="Arial"/>
          <w:color w:val="000000" w:themeColor="text1"/>
          <w:sz w:val="22"/>
          <w:szCs w:val="22"/>
          <w:lang w:val="es-CO"/>
        </w:rPr>
        <w:t>Formato 7 – Puntaje de Industria Nacional</w:t>
      </w:r>
    </w:p>
    <w:p w14:paraId="0B165E51" w14:textId="2741FF96" w:rsidR="00EF1994" w:rsidRPr="00C60BCA" w:rsidRDefault="00EF1994" w:rsidP="00E17415">
      <w:pPr>
        <w:pStyle w:val="Prrafodelista"/>
        <w:numPr>
          <w:ilvl w:val="0"/>
          <w:numId w:val="4"/>
        </w:numPr>
        <w:spacing w:line="276" w:lineRule="auto"/>
        <w:contextualSpacing w:val="0"/>
        <w:jc w:val="both"/>
        <w:rPr>
          <w:rFonts w:ascii="Verdana" w:eastAsia="Arial" w:hAnsi="Verdana" w:cs="Arial"/>
          <w:color w:val="000000" w:themeColor="text1"/>
          <w:sz w:val="22"/>
          <w:szCs w:val="22"/>
          <w:lang w:val="es-CO"/>
        </w:rPr>
      </w:pPr>
      <w:r w:rsidRPr="00C60BCA">
        <w:rPr>
          <w:rFonts w:ascii="Verdana" w:eastAsia="Arial" w:hAnsi="Verdana" w:cs="Arial"/>
          <w:color w:val="000000" w:themeColor="text1"/>
          <w:sz w:val="22"/>
          <w:szCs w:val="22"/>
          <w:lang w:val="es-CO"/>
        </w:rPr>
        <w:t xml:space="preserve">Formato 8 – Aceptación y cumplimiento de la formación académica </w:t>
      </w:r>
      <w:r w:rsidR="00F854C7" w:rsidRPr="00C60BCA">
        <w:rPr>
          <w:rFonts w:ascii="Verdana" w:eastAsia="Arial" w:hAnsi="Verdana" w:cs="Arial"/>
          <w:color w:val="000000" w:themeColor="text1"/>
          <w:sz w:val="22"/>
          <w:szCs w:val="22"/>
          <w:lang w:val="es-CO"/>
        </w:rPr>
        <w:t xml:space="preserve">y la experiencia del Personal Clave Evaluable </w:t>
      </w:r>
    </w:p>
    <w:p w14:paraId="0D28CC44" w14:textId="0C4509D0" w:rsidR="00E17415" w:rsidRPr="00C60BCA" w:rsidRDefault="00E17415" w:rsidP="00E17415">
      <w:pPr>
        <w:pStyle w:val="Prrafodelista"/>
        <w:numPr>
          <w:ilvl w:val="0"/>
          <w:numId w:val="4"/>
        </w:numPr>
        <w:spacing w:line="276" w:lineRule="auto"/>
        <w:contextualSpacing w:val="0"/>
        <w:rPr>
          <w:rFonts w:ascii="Verdana" w:eastAsia="Arial" w:hAnsi="Verdana" w:cs="Arial"/>
          <w:color w:val="000000" w:themeColor="text1"/>
          <w:sz w:val="22"/>
          <w:szCs w:val="22"/>
          <w:lang w:val="es-CO"/>
        </w:rPr>
      </w:pPr>
      <w:r w:rsidRPr="00C60BCA">
        <w:rPr>
          <w:rFonts w:ascii="Verdana" w:eastAsia="Arial" w:hAnsi="Verdana" w:cs="Arial"/>
          <w:color w:val="000000" w:themeColor="text1"/>
          <w:sz w:val="22"/>
          <w:szCs w:val="22"/>
          <w:lang w:val="es-CO"/>
        </w:rPr>
        <w:t xml:space="preserve">Formato 9 – </w:t>
      </w:r>
      <w:r w:rsidR="003A4551" w:rsidRPr="00C60BCA">
        <w:rPr>
          <w:rFonts w:ascii="Verdana" w:eastAsia="Arial" w:hAnsi="Verdana" w:cs="Arial"/>
          <w:color w:val="000000" w:themeColor="text1"/>
          <w:sz w:val="22"/>
          <w:szCs w:val="22"/>
          <w:lang w:val="es-CO"/>
        </w:rPr>
        <w:t>Experiencia y formación adicional del Personal Clave Evaluable</w:t>
      </w:r>
    </w:p>
    <w:p w14:paraId="7131178E" w14:textId="77777777" w:rsidR="00E17415" w:rsidRPr="00C60BCA" w:rsidRDefault="00E17415" w:rsidP="00E17415">
      <w:pPr>
        <w:pStyle w:val="Prrafodelista"/>
        <w:numPr>
          <w:ilvl w:val="0"/>
          <w:numId w:val="4"/>
        </w:numPr>
        <w:spacing w:line="276" w:lineRule="auto"/>
        <w:contextualSpacing w:val="0"/>
        <w:rPr>
          <w:rFonts w:ascii="Verdana" w:eastAsia="Arial" w:hAnsi="Verdana" w:cs="Arial"/>
          <w:color w:val="000000" w:themeColor="text1"/>
          <w:sz w:val="22"/>
          <w:szCs w:val="22"/>
          <w:lang w:val="es-CO"/>
        </w:rPr>
      </w:pPr>
      <w:r w:rsidRPr="00C60BCA">
        <w:rPr>
          <w:rFonts w:ascii="Verdana" w:eastAsia="Arial" w:hAnsi="Verdana" w:cs="Arial"/>
          <w:color w:val="000000" w:themeColor="text1"/>
          <w:sz w:val="22"/>
          <w:szCs w:val="22"/>
          <w:lang w:val="es-CO"/>
        </w:rPr>
        <w:t>Formato 10 – Factores de desempate</w:t>
      </w:r>
    </w:p>
    <w:p w14:paraId="03618E0A" w14:textId="4DFDE2B8" w:rsidR="00E17415" w:rsidRPr="00C60BCA" w:rsidRDefault="00E17415" w:rsidP="00E17415">
      <w:pPr>
        <w:pStyle w:val="Prrafodelista"/>
        <w:numPr>
          <w:ilvl w:val="0"/>
          <w:numId w:val="4"/>
        </w:numPr>
        <w:spacing w:line="276" w:lineRule="auto"/>
        <w:contextualSpacing w:val="0"/>
        <w:rPr>
          <w:rFonts w:ascii="Verdana" w:eastAsia="Arial" w:hAnsi="Verdana" w:cs="Arial"/>
          <w:color w:val="000000" w:themeColor="text1"/>
          <w:sz w:val="22"/>
          <w:szCs w:val="22"/>
          <w:lang w:val="es-CO"/>
        </w:rPr>
      </w:pPr>
      <w:r w:rsidRPr="00C60BCA">
        <w:rPr>
          <w:rFonts w:ascii="Verdana" w:eastAsia="Arial" w:hAnsi="Verdana" w:cs="Arial"/>
          <w:color w:val="000000" w:themeColor="text1"/>
          <w:sz w:val="22"/>
          <w:szCs w:val="22"/>
          <w:lang w:val="es-CO"/>
        </w:rPr>
        <w:t xml:space="preserve">Formato 11 – Autorización </w:t>
      </w:r>
      <w:r w:rsidR="00304764">
        <w:rPr>
          <w:rFonts w:ascii="Verdana" w:eastAsia="Arial" w:hAnsi="Verdana" w:cs="Arial"/>
          <w:color w:val="000000" w:themeColor="text1"/>
          <w:sz w:val="22"/>
          <w:szCs w:val="22"/>
          <w:lang w:val="es-CO"/>
        </w:rPr>
        <w:t xml:space="preserve">para el Tratamiento </w:t>
      </w:r>
      <w:r w:rsidRPr="00C60BCA">
        <w:rPr>
          <w:rFonts w:ascii="Verdana" w:eastAsia="Arial" w:hAnsi="Verdana" w:cs="Arial"/>
          <w:color w:val="000000" w:themeColor="text1"/>
          <w:sz w:val="22"/>
          <w:szCs w:val="22"/>
          <w:lang w:val="es-CO"/>
        </w:rPr>
        <w:t xml:space="preserve">de </w:t>
      </w:r>
      <w:r w:rsidR="00304764">
        <w:rPr>
          <w:rFonts w:ascii="Verdana" w:eastAsia="Arial" w:hAnsi="Verdana" w:cs="Arial"/>
          <w:color w:val="000000" w:themeColor="text1"/>
          <w:sz w:val="22"/>
          <w:szCs w:val="22"/>
          <w:lang w:val="es-CO"/>
        </w:rPr>
        <w:t>D</w:t>
      </w:r>
      <w:r w:rsidRPr="00C60BCA">
        <w:rPr>
          <w:rFonts w:ascii="Verdana" w:eastAsia="Arial" w:hAnsi="Verdana" w:cs="Arial"/>
          <w:color w:val="000000" w:themeColor="text1"/>
          <w:sz w:val="22"/>
          <w:szCs w:val="22"/>
          <w:lang w:val="es-CO"/>
        </w:rPr>
        <w:t>atos personales</w:t>
      </w:r>
    </w:p>
    <w:p w14:paraId="5092B507" w14:textId="1FEF7A52" w:rsidR="00E17415" w:rsidRPr="00C60BCA" w:rsidRDefault="00E17415" w:rsidP="00E17415">
      <w:pPr>
        <w:pStyle w:val="Prrafodelista"/>
        <w:numPr>
          <w:ilvl w:val="0"/>
          <w:numId w:val="4"/>
        </w:numPr>
        <w:spacing w:line="276" w:lineRule="auto"/>
        <w:contextualSpacing w:val="0"/>
        <w:rPr>
          <w:rFonts w:ascii="Verdana" w:eastAsia="Arial" w:hAnsi="Verdana" w:cs="Arial"/>
          <w:color w:val="000000" w:themeColor="text1"/>
          <w:sz w:val="22"/>
          <w:szCs w:val="22"/>
          <w:lang w:val="es-CO"/>
        </w:rPr>
      </w:pPr>
      <w:r w:rsidRPr="00C60BCA">
        <w:rPr>
          <w:rFonts w:ascii="Verdana" w:eastAsia="Arial" w:hAnsi="Verdana" w:cs="Arial"/>
          <w:color w:val="000000" w:themeColor="text1"/>
          <w:sz w:val="22"/>
          <w:szCs w:val="22"/>
          <w:lang w:val="es-CO"/>
        </w:rPr>
        <w:t xml:space="preserve">Formato 12 – Factor de </w:t>
      </w:r>
      <w:r w:rsidR="004652AA">
        <w:rPr>
          <w:rFonts w:ascii="Verdana" w:eastAsia="Arial" w:hAnsi="Verdana" w:cs="Arial"/>
          <w:color w:val="000000" w:themeColor="text1"/>
          <w:sz w:val="22"/>
          <w:szCs w:val="22"/>
          <w:lang w:val="es-CO"/>
        </w:rPr>
        <w:t>S</w:t>
      </w:r>
      <w:r w:rsidRPr="00C60BCA">
        <w:rPr>
          <w:rFonts w:ascii="Verdana" w:eastAsia="Arial" w:hAnsi="Verdana" w:cs="Arial"/>
          <w:color w:val="000000" w:themeColor="text1"/>
          <w:sz w:val="22"/>
          <w:szCs w:val="22"/>
          <w:lang w:val="es-CO"/>
        </w:rPr>
        <w:t>ostenibilidad</w:t>
      </w:r>
    </w:p>
    <w:p w14:paraId="2737AB81" w14:textId="2D20E390" w:rsidR="00E17415" w:rsidRPr="00C60BCA" w:rsidRDefault="00E17415" w:rsidP="00E17415">
      <w:pPr>
        <w:pStyle w:val="Prrafodelista"/>
        <w:numPr>
          <w:ilvl w:val="0"/>
          <w:numId w:val="4"/>
        </w:numPr>
        <w:spacing w:line="276" w:lineRule="auto"/>
        <w:contextualSpacing w:val="0"/>
        <w:rPr>
          <w:rFonts w:ascii="Verdana" w:eastAsia="Arial" w:hAnsi="Verdana" w:cs="Arial"/>
          <w:color w:val="000000" w:themeColor="text1"/>
          <w:sz w:val="22"/>
          <w:szCs w:val="22"/>
          <w:lang w:val="es-CO"/>
        </w:rPr>
      </w:pPr>
      <w:r w:rsidRPr="00C60BCA">
        <w:rPr>
          <w:rFonts w:ascii="Verdana" w:eastAsia="Arial" w:hAnsi="Verdana" w:cs="Arial"/>
          <w:color w:val="000000" w:themeColor="text1"/>
          <w:sz w:val="22"/>
          <w:szCs w:val="22"/>
          <w:lang w:val="es-CO"/>
        </w:rPr>
        <w:t xml:space="preserve">Formato 13 – Acreditación </w:t>
      </w:r>
      <w:r w:rsidR="004652AA">
        <w:rPr>
          <w:rFonts w:ascii="Verdana" w:eastAsia="Arial" w:hAnsi="Verdana" w:cs="Arial"/>
          <w:color w:val="000000" w:themeColor="text1"/>
          <w:sz w:val="22"/>
          <w:szCs w:val="22"/>
          <w:lang w:val="es-CO"/>
        </w:rPr>
        <w:t>E</w:t>
      </w:r>
      <w:r w:rsidRPr="00C60BCA">
        <w:rPr>
          <w:rFonts w:ascii="Verdana" w:eastAsia="Arial" w:hAnsi="Verdana" w:cs="Arial"/>
          <w:color w:val="000000" w:themeColor="text1"/>
          <w:sz w:val="22"/>
          <w:szCs w:val="22"/>
          <w:lang w:val="es-CO"/>
        </w:rPr>
        <w:t xml:space="preserve">mprendimiento y </w:t>
      </w:r>
      <w:r w:rsidR="004652AA">
        <w:rPr>
          <w:rFonts w:ascii="Verdana" w:eastAsia="Arial" w:hAnsi="Verdana" w:cs="Arial"/>
          <w:color w:val="000000" w:themeColor="text1"/>
          <w:sz w:val="22"/>
          <w:szCs w:val="22"/>
          <w:lang w:val="es-CO"/>
        </w:rPr>
        <w:t>E</w:t>
      </w:r>
      <w:r w:rsidRPr="00C60BCA">
        <w:rPr>
          <w:rFonts w:ascii="Verdana" w:eastAsia="Arial" w:hAnsi="Verdana" w:cs="Arial"/>
          <w:color w:val="000000" w:themeColor="text1"/>
          <w:sz w:val="22"/>
          <w:szCs w:val="22"/>
          <w:lang w:val="es-CO"/>
        </w:rPr>
        <w:t xml:space="preserve">mpresas de </w:t>
      </w:r>
      <w:r w:rsidR="004652AA">
        <w:rPr>
          <w:rFonts w:ascii="Verdana" w:eastAsia="Arial" w:hAnsi="Verdana" w:cs="Arial"/>
          <w:color w:val="000000" w:themeColor="text1"/>
          <w:sz w:val="22"/>
          <w:szCs w:val="22"/>
          <w:lang w:val="es-CO"/>
        </w:rPr>
        <w:t>M</w:t>
      </w:r>
      <w:r w:rsidRPr="00C60BCA">
        <w:rPr>
          <w:rFonts w:ascii="Verdana" w:eastAsia="Arial" w:hAnsi="Verdana" w:cs="Arial"/>
          <w:color w:val="000000" w:themeColor="text1"/>
          <w:sz w:val="22"/>
          <w:szCs w:val="22"/>
          <w:lang w:val="es-CO"/>
        </w:rPr>
        <w:t>ujeres</w:t>
      </w:r>
    </w:p>
    <w:p w14:paraId="1DBB452A" w14:textId="77777777" w:rsidR="00E17415" w:rsidRPr="00C60BCA" w:rsidRDefault="00E17415" w:rsidP="00E17415">
      <w:pPr>
        <w:pStyle w:val="Prrafodelista"/>
        <w:numPr>
          <w:ilvl w:val="0"/>
          <w:numId w:val="4"/>
        </w:numPr>
        <w:spacing w:line="276" w:lineRule="auto"/>
        <w:contextualSpacing w:val="0"/>
        <w:rPr>
          <w:rFonts w:ascii="Verdana" w:eastAsia="Arial" w:hAnsi="Verdana" w:cs="Arial"/>
          <w:color w:val="000000" w:themeColor="text1"/>
          <w:sz w:val="22"/>
          <w:szCs w:val="22"/>
          <w:lang w:val="es-CO"/>
        </w:rPr>
      </w:pPr>
      <w:r w:rsidRPr="00C60BCA">
        <w:rPr>
          <w:rFonts w:ascii="Verdana" w:eastAsia="Arial" w:hAnsi="Verdana" w:cs="Arial"/>
          <w:color w:val="000000" w:themeColor="text1"/>
          <w:sz w:val="22"/>
          <w:szCs w:val="22"/>
          <w:lang w:val="es-CO"/>
        </w:rPr>
        <w:t xml:space="preserve">Formato 14 – Acreditación de </w:t>
      </w:r>
      <w:proofErr w:type="spellStart"/>
      <w:r w:rsidRPr="00C60BCA">
        <w:rPr>
          <w:rFonts w:ascii="Verdana" w:eastAsia="Arial" w:hAnsi="Verdana" w:cs="Arial"/>
          <w:color w:val="000000" w:themeColor="text1"/>
          <w:sz w:val="22"/>
          <w:szCs w:val="22"/>
          <w:lang w:val="es-CO"/>
        </w:rPr>
        <w:t>Mipyme</w:t>
      </w:r>
      <w:proofErr w:type="spellEnd"/>
    </w:p>
    <w:p w14:paraId="345912CF" w14:textId="77777777" w:rsidR="00E17415" w:rsidRPr="00C60BCA" w:rsidRDefault="00E17415" w:rsidP="00E17415">
      <w:pPr>
        <w:pStyle w:val="Prrafodelista"/>
        <w:spacing w:line="276" w:lineRule="auto"/>
        <w:rPr>
          <w:rFonts w:ascii="Verdana" w:eastAsia="Arial" w:hAnsi="Verdana" w:cs="Arial"/>
          <w:color w:val="000000" w:themeColor="text1"/>
          <w:sz w:val="22"/>
          <w:szCs w:val="22"/>
          <w:lang w:val="es-CO"/>
        </w:rPr>
      </w:pPr>
    </w:p>
    <w:p w14:paraId="58334BAA" w14:textId="77777777" w:rsidR="00E17415" w:rsidRPr="00C60BCA" w:rsidRDefault="00E17415" w:rsidP="00E17415">
      <w:pPr>
        <w:pStyle w:val="Captulo9"/>
        <w:numPr>
          <w:ilvl w:val="0"/>
          <w:numId w:val="1"/>
        </w:numPr>
        <w:spacing w:after="0"/>
        <w:rPr>
          <w:rFonts w:ascii="Verdana" w:eastAsia="Arial" w:hAnsi="Verdana"/>
          <w:sz w:val="22"/>
          <w:szCs w:val="22"/>
        </w:rPr>
      </w:pPr>
      <w:r w:rsidRPr="00C60BCA">
        <w:rPr>
          <w:rFonts w:ascii="Verdana" w:hAnsi="Verdana"/>
          <w:sz w:val="22"/>
          <w:szCs w:val="22"/>
        </w:rPr>
        <w:t xml:space="preserve">MATRICES </w:t>
      </w:r>
    </w:p>
    <w:p w14:paraId="42EAA900" w14:textId="77777777" w:rsidR="00E17415" w:rsidRPr="00C60BCA" w:rsidRDefault="00E17415" w:rsidP="00E17415">
      <w:pPr>
        <w:pStyle w:val="Captulo9"/>
        <w:numPr>
          <w:ilvl w:val="0"/>
          <w:numId w:val="0"/>
        </w:numPr>
        <w:spacing w:after="0"/>
        <w:ind w:left="720"/>
        <w:rPr>
          <w:rFonts w:ascii="Verdana" w:eastAsia="Arial" w:hAnsi="Verdana"/>
          <w:sz w:val="22"/>
          <w:szCs w:val="22"/>
        </w:rPr>
      </w:pPr>
    </w:p>
    <w:p w14:paraId="01B7D259" w14:textId="35AA71E0" w:rsidR="00F854C7" w:rsidRPr="00C60BCA" w:rsidRDefault="00F854C7" w:rsidP="00E17415">
      <w:pPr>
        <w:pStyle w:val="Invias-VietaAlfabetica"/>
        <w:numPr>
          <w:ilvl w:val="0"/>
          <w:numId w:val="6"/>
        </w:numPr>
        <w:tabs>
          <w:tab w:val="left" w:pos="426"/>
        </w:tabs>
        <w:spacing w:before="0" w:after="0" w:line="276" w:lineRule="auto"/>
        <w:rPr>
          <w:rFonts w:ascii="Verdana" w:eastAsia="Arial" w:hAnsi="Verdana" w:cs="Arial"/>
          <w:color w:val="000000" w:themeColor="text1"/>
          <w:sz w:val="22"/>
          <w:szCs w:val="22"/>
        </w:rPr>
      </w:pPr>
      <w:r w:rsidRPr="00C60BCA">
        <w:rPr>
          <w:rFonts w:ascii="Verdana" w:hAnsi="Verdana" w:cs="Arial"/>
          <w:sz w:val="22"/>
          <w:szCs w:val="22"/>
        </w:rPr>
        <w:t>Matriz 1 – Experiencia</w:t>
      </w:r>
    </w:p>
    <w:p w14:paraId="3F624296" w14:textId="29F6F23D" w:rsidR="00E17415" w:rsidRPr="00C60BCA" w:rsidRDefault="00E17415" w:rsidP="00E17415">
      <w:pPr>
        <w:pStyle w:val="Invias-VietaAlfabetica"/>
        <w:numPr>
          <w:ilvl w:val="0"/>
          <w:numId w:val="6"/>
        </w:numPr>
        <w:tabs>
          <w:tab w:val="left" w:pos="426"/>
        </w:tabs>
        <w:spacing w:before="0" w:after="0" w:line="276" w:lineRule="auto"/>
        <w:rPr>
          <w:rFonts w:ascii="Verdana" w:eastAsia="Arial" w:hAnsi="Verdana" w:cs="Arial"/>
          <w:color w:val="000000" w:themeColor="text1"/>
          <w:sz w:val="22"/>
          <w:szCs w:val="22"/>
        </w:rPr>
      </w:pPr>
      <w:r w:rsidRPr="00C60BCA">
        <w:rPr>
          <w:rFonts w:ascii="Verdana" w:hAnsi="Verdana" w:cs="Arial"/>
          <w:sz w:val="22"/>
          <w:szCs w:val="22"/>
        </w:rPr>
        <w:t>Matriz 2 – Indicadores financieros y organizacionales</w:t>
      </w:r>
    </w:p>
    <w:p w14:paraId="37A14950" w14:textId="77777777" w:rsidR="00E17415" w:rsidRPr="00C60BCA" w:rsidRDefault="00E17415" w:rsidP="00E17415">
      <w:pPr>
        <w:pStyle w:val="Invias-VietaAlfabetica"/>
        <w:numPr>
          <w:ilvl w:val="0"/>
          <w:numId w:val="6"/>
        </w:numPr>
        <w:tabs>
          <w:tab w:val="left" w:pos="426"/>
        </w:tabs>
        <w:spacing w:before="0" w:after="0" w:line="276" w:lineRule="auto"/>
        <w:rPr>
          <w:rFonts w:ascii="Verdana" w:eastAsia="Arial" w:hAnsi="Verdana" w:cs="Arial"/>
          <w:color w:val="000000" w:themeColor="text1"/>
          <w:sz w:val="22"/>
          <w:szCs w:val="22"/>
        </w:rPr>
      </w:pPr>
      <w:r w:rsidRPr="00C60BCA">
        <w:rPr>
          <w:rFonts w:ascii="Verdana" w:hAnsi="Verdana" w:cs="Arial"/>
          <w:sz w:val="22"/>
          <w:szCs w:val="22"/>
        </w:rPr>
        <w:t xml:space="preserve">Matriz 3 – Riesgos </w:t>
      </w:r>
    </w:p>
    <w:p w14:paraId="41864D37" w14:textId="61C6DCAF" w:rsidR="00E17415" w:rsidRPr="00C60BCA" w:rsidRDefault="00E17415" w:rsidP="00E17415">
      <w:pPr>
        <w:pStyle w:val="Prrafodelista"/>
        <w:numPr>
          <w:ilvl w:val="0"/>
          <w:numId w:val="6"/>
        </w:numPr>
        <w:spacing w:line="276" w:lineRule="auto"/>
        <w:contextualSpacing w:val="0"/>
        <w:rPr>
          <w:rFonts w:ascii="Verdana" w:eastAsia="Arial" w:hAnsi="Verdana" w:cs="Arial"/>
          <w:b/>
          <w:bCs/>
          <w:color w:val="3A3A3A" w:themeColor="background2" w:themeShade="40"/>
          <w:sz w:val="22"/>
          <w:szCs w:val="22"/>
          <w:lang w:val="es-CO"/>
        </w:rPr>
      </w:pPr>
      <w:r w:rsidRPr="00C60BCA">
        <w:rPr>
          <w:rFonts w:ascii="Verdana" w:eastAsia="Arial" w:hAnsi="Verdana" w:cs="Arial"/>
          <w:color w:val="000000" w:themeColor="text1"/>
          <w:sz w:val="22"/>
          <w:szCs w:val="22"/>
          <w:lang w:val="es-CO"/>
        </w:rPr>
        <w:t>Matriz 4</w:t>
      </w:r>
      <w:r w:rsidRPr="00C60BCA">
        <w:rPr>
          <w:rFonts w:ascii="Verdana" w:eastAsia="Calibri" w:hAnsi="Verdana" w:cs="Arial"/>
          <w:color w:val="000000" w:themeColor="text1"/>
          <w:sz w:val="22"/>
          <w:szCs w:val="22"/>
          <w:lang w:val="es-CO"/>
        </w:rPr>
        <w:t xml:space="preserve"> </w:t>
      </w:r>
      <w:r w:rsidRPr="00C60BCA">
        <w:rPr>
          <w:rFonts w:ascii="Verdana" w:eastAsia="Arial" w:hAnsi="Verdana" w:cs="Arial"/>
          <w:color w:val="000000" w:themeColor="text1"/>
          <w:sz w:val="22"/>
          <w:szCs w:val="22"/>
          <w:lang w:val="es-CO"/>
        </w:rPr>
        <w:t xml:space="preserve">– </w:t>
      </w:r>
      <w:r w:rsidR="00E0514E">
        <w:rPr>
          <w:rFonts w:ascii="Verdana" w:eastAsia="Arial" w:hAnsi="Verdana" w:cs="Arial"/>
          <w:color w:val="000000" w:themeColor="text1"/>
          <w:sz w:val="22"/>
          <w:szCs w:val="22"/>
          <w:lang w:val="es-CO"/>
        </w:rPr>
        <w:t>Lineami</w:t>
      </w:r>
      <w:r w:rsidR="004716CD">
        <w:rPr>
          <w:rFonts w:ascii="Verdana" w:eastAsia="Arial" w:hAnsi="Verdana" w:cs="Arial"/>
          <w:color w:val="000000" w:themeColor="text1"/>
          <w:sz w:val="22"/>
          <w:szCs w:val="22"/>
          <w:lang w:val="es-CO"/>
        </w:rPr>
        <w:t>e</w:t>
      </w:r>
      <w:r w:rsidR="00E0514E">
        <w:rPr>
          <w:rFonts w:ascii="Verdana" w:eastAsia="Arial" w:hAnsi="Verdana" w:cs="Arial"/>
          <w:color w:val="000000" w:themeColor="text1"/>
          <w:sz w:val="22"/>
          <w:szCs w:val="22"/>
          <w:lang w:val="es-CO"/>
        </w:rPr>
        <w:t xml:space="preserve">ntos de </w:t>
      </w:r>
      <w:r w:rsidR="004716CD">
        <w:rPr>
          <w:rFonts w:ascii="Verdana" w:eastAsia="Arial" w:hAnsi="Verdana" w:cs="Arial"/>
          <w:color w:val="000000" w:themeColor="text1"/>
          <w:sz w:val="22"/>
          <w:szCs w:val="22"/>
          <w:lang w:val="es-CO"/>
        </w:rPr>
        <w:t>requisitos de</w:t>
      </w:r>
      <w:r w:rsidR="00304764">
        <w:rPr>
          <w:rFonts w:ascii="Verdana" w:eastAsia="Arial" w:hAnsi="Verdana" w:cs="Arial"/>
          <w:color w:val="000000" w:themeColor="text1"/>
          <w:sz w:val="22"/>
          <w:szCs w:val="22"/>
          <w:lang w:val="es-CO"/>
        </w:rPr>
        <w:t>l</w:t>
      </w:r>
      <w:r w:rsidR="004716CD">
        <w:rPr>
          <w:rFonts w:ascii="Verdana" w:eastAsia="Arial" w:hAnsi="Verdana" w:cs="Arial"/>
          <w:color w:val="000000" w:themeColor="text1"/>
          <w:sz w:val="22"/>
          <w:szCs w:val="22"/>
          <w:lang w:val="es-CO"/>
        </w:rPr>
        <w:t xml:space="preserve"> personal</w:t>
      </w:r>
    </w:p>
    <w:p w14:paraId="584D17F0" w14:textId="77777777" w:rsidR="00E17415" w:rsidRPr="00C60BCA" w:rsidRDefault="00E17415" w:rsidP="00E17415">
      <w:pPr>
        <w:pStyle w:val="Prrafodelista"/>
        <w:spacing w:line="276" w:lineRule="auto"/>
        <w:rPr>
          <w:rFonts w:ascii="Verdana" w:eastAsia="Arial" w:hAnsi="Verdana" w:cs="Arial"/>
          <w:b/>
          <w:bCs/>
          <w:color w:val="3A3A3A" w:themeColor="background2" w:themeShade="40"/>
          <w:sz w:val="22"/>
          <w:szCs w:val="22"/>
          <w:lang w:val="es-CO"/>
        </w:rPr>
      </w:pPr>
    </w:p>
    <w:p w14:paraId="209C2DAD" w14:textId="77777777" w:rsidR="00E17415" w:rsidRPr="00C60BCA" w:rsidRDefault="00E17415" w:rsidP="00E17415">
      <w:pPr>
        <w:pStyle w:val="Prrafodelista"/>
        <w:numPr>
          <w:ilvl w:val="0"/>
          <w:numId w:val="1"/>
        </w:numPr>
        <w:spacing w:line="276" w:lineRule="auto"/>
        <w:contextualSpacing w:val="0"/>
        <w:rPr>
          <w:rFonts w:ascii="Verdana" w:eastAsia="Arial" w:hAnsi="Verdana" w:cs="Arial"/>
          <w:b/>
          <w:bCs/>
          <w:color w:val="3A3A3A" w:themeColor="background2" w:themeShade="40"/>
          <w:sz w:val="22"/>
          <w:szCs w:val="22"/>
          <w:lang w:val="es-CO"/>
        </w:rPr>
      </w:pPr>
      <w:r w:rsidRPr="00C60BCA">
        <w:rPr>
          <w:rFonts w:ascii="Verdana" w:hAnsi="Verdana" w:cs="Arial"/>
          <w:b/>
          <w:bCs/>
          <w:sz w:val="22"/>
          <w:szCs w:val="22"/>
        </w:rPr>
        <w:t xml:space="preserve">FORMULARIOS </w:t>
      </w:r>
    </w:p>
    <w:p w14:paraId="2291175F" w14:textId="77777777" w:rsidR="00E17415" w:rsidRPr="00C60BCA" w:rsidRDefault="00E17415" w:rsidP="00E17415">
      <w:pPr>
        <w:pStyle w:val="Prrafodelista"/>
        <w:spacing w:line="276" w:lineRule="auto"/>
        <w:rPr>
          <w:rFonts w:ascii="Verdana" w:eastAsia="Arial" w:hAnsi="Verdana" w:cs="Arial"/>
          <w:b/>
          <w:bCs/>
          <w:color w:val="3A3A3A" w:themeColor="background2" w:themeShade="40"/>
          <w:sz w:val="22"/>
          <w:szCs w:val="22"/>
          <w:lang w:val="es-CO"/>
        </w:rPr>
      </w:pPr>
    </w:p>
    <w:p w14:paraId="333A62F7" w14:textId="003085DB" w:rsidR="00E17415" w:rsidRPr="00C60BCA" w:rsidRDefault="00E17415" w:rsidP="00E17415">
      <w:pPr>
        <w:pStyle w:val="Invias-VietaAlfabetica"/>
        <w:numPr>
          <w:ilvl w:val="0"/>
          <w:numId w:val="5"/>
        </w:numPr>
        <w:tabs>
          <w:tab w:val="left" w:pos="426"/>
        </w:tabs>
        <w:spacing w:before="0" w:after="0" w:line="276" w:lineRule="auto"/>
        <w:rPr>
          <w:rFonts w:ascii="Verdana" w:eastAsia="Arial" w:hAnsi="Verdana" w:cs="Arial"/>
          <w:color w:val="000000" w:themeColor="text1"/>
          <w:sz w:val="22"/>
          <w:szCs w:val="22"/>
        </w:rPr>
      </w:pPr>
      <w:r w:rsidRPr="00C60BCA">
        <w:rPr>
          <w:rFonts w:ascii="Verdana" w:hAnsi="Verdana" w:cs="Arial"/>
          <w:sz w:val="22"/>
          <w:szCs w:val="22"/>
        </w:rPr>
        <w:t xml:space="preserve">Formulario 1– Formulario de </w:t>
      </w:r>
      <w:r w:rsidR="00EB6A5C">
        <w:rPr>
          <w:rFonts w:ascii="Verdana" w:hAnsi="Verdana" w:cs="Arial"/>
          <w:sz w:val="22"/>
          <w:szCs w:val="22"/>
        </w:rPr>
        <w:t>o</w:t>
      </w:r>
      <w:r w:rsidR="000F0FA2" w:rsidRPr="00C60BCA">
        <w:rPr>
          <w:rFonts w:ascii="Verdana" w:hAnsi="Verdana" w:cs="Arial"/>
          <w:sz w:val="22"/>
          <w:szCs w:val="22"/>
        </w:rPr>
        <w:t xml:space="preserve">ferta </w:t>
      </w:r>
      <w:r w:rsidR="00EB6A5C">
        <w:rPr>
          <w:rFonts w:ascii="Verdana" w:hAnsi="Verdana" w:cs="Arial"/>
          <w:sz w:val="22"/>
          <w:szCs w:val="22"/>
        </w:rPr>
        <w:t>e</w:t>
      </w:r>
      <w:r w:rsidR="000F0FA2" w:rsidRPr="00C60BCA">
        <w:rPr>
          <w:rFonts w:ascii="Verdana" w:hAnsi="Verdana" w:cs="Arial"/>
          <w:sz w:val="22"/>
          <w:szCs w:val="22"/>
        </w:rPr>
        <w:t xml:space="preserve">conómica </w:t>
      </w:r>
      <w:r w:rsidRPr="00C60BCA">
        <w:rPr>
          <w:rFonts w:ascii="Verdana" w:hAnsi="Verdana" w:cs="Arial"/>
          <w:sz w:val="22"/>
          <w:szCs w:val="22"/>
        </w:rPr>
        <w:t xml:space="preserve"> </w:t>
      </w:r>
    </w:p>
    <w:p w14:paraId="61F37432" w14:textId="77777777" w:rsidR="00E17415" w:rsidRPr="00C60BCA" w:rsidRDefault="00E17415" w:rsidP="00E17415">
      <w:pPr>
        <w:spacing w:line="276" w:lineRule="auto"/>
        <w:ind w:right="-86"/>
        <w:contextualSpacing/>
        <w:rPr>
          <w:rFonts w:ascii="Verdana" w:hAnsi="Verdana" w:cs="Arial"/>
          <w:b/>
          <w:bCs/>
          <w:color w:val="000000" w:themeColor="text1"/>
          <w:sz w:val="22"/>
          <w:szCs w:val="22"/>
        </w:rPr>
      </w:pPr>
    </w:p>
    <w:p w14:paraId="53BD9388" w14:textId="6D4903D7" w:rsidR="00E17415" w:rsidRPr="00C60BCA" w:rsidRDefault="00E17415" w:rsidP="00E17415">
      <w:pPr>
        <w:spacing w:line="276" w:lineRule="auto"/>
        <w:ind w:right="-86"/>
        <w:contextualSpacing/>
        <w:jc w:val="both"/>
        <w:rPr>
          <w:rFonts w:ascii="Verdana" w:hAnsi="Verdana" w:cs="Arial"/>
          <w:color w:val="000000"/>
          <w:sz w:val="22"/>
          <w:szCs w:val="22"/>
        </w:rPr>
      </w:pPr>
      <w:r w:rsidRPr="00C60BCA">
        <w:rPr>
          <w:rFonts w:ascii="Verdana" w:hAnsi="Verdana" w:cs="Arial"/>
          <w:b/>
          <w:bCs/>
          <w:color w:val="000000" w:themeColor="text1"/>
          <w:sz w:val="22"/>
          <w:szCs w:val="22"/>
        </w:rPr>
        <w:t xml:space="preserve">Parágrafo 1. </w:t>
      </w:r>
      <w:r w:rsidRPr="00C60BCA">
        <w:rPr>
          <w:rFonts w:ascii="Verdana" w:hAnsi="Verdana" w:cs="Arial"/>
          <w:color w:val="000000" w:themeColor="text1"/>
          <w:sz w:val="22"/>
          <w:szCs w:val="22"/>
        </w:rPr>
        <w:t xml:space="preserve">Cuando la Entidad Estatal utilice el SECOP II, o el sistema que haga sus veces, debe adaptar el contenido de los </w:t>
      </w:r>
      <w:r w:rsidR="00DD54F9">
        <w:rPr>
          <w:rFonts w:ascii="Verdana" w:hAnsi="Verdana" w:cs="Arial"/>
          <w:color w:val="000000" w:themeColor="text1"/>
          <w:sz w:val="22"/>
          <w:szCs w:val="22"/>
        </w:rPr>
        <w:t>d</w:t>
      </w:r>
      <w:r w:rsidRPr="00C60BCA">
        <w:rPr>
          <w:rFonts w:ascii="Verdana" w:hAnsi="Verdana" w:cs="Arial"/>
          <w:color w:val="000000" w:themeColor="text1"/>
          <w:sz w:val="22"/>
          <w:szCs w:val="22"/>
        </w:rPr>
        <w:t xml:space="preserve">ocumentos </w:t>
      </w:r>
      <w:r w:rsidR="00DD54F9">
        <w:rPr>
          <w:rFonts w:ascii="Verdana" w:hAnsi="Verdana" w:cs="Arial"/>
          <w:color w:val="000000" w:themeColor="text1"/>
          <w:sz w:val="22"/>
          <w:szCs w:val="22"/>
        </w:rPr>
        <w:t>t</w:t>
      </w:r>
      <w:r w:rsidRPr="00C60BCA">
        <w:rPr>
          <w:rFonts w:ascii="Verdana" w:hAnsi="Verdana" w:cs="Arial"/>
          <w:color w:val="000000" w:themeColor="text1"/>
          <w:sz w:val="22"/>
          <w:szCs w:val="22"/>
        </w:rPr>
        <w:t xml:space="preserve">ipo a esta plataforma. </w:t>
      </w:r>
    </w:p>
    <w:bookmarkEnd w:id="1"/>
    <w:p w14:paraId="61F48E8D" w14:textId="77777777" w:rsidR="00E17415" w:rsidRPr="00C60BCA" w:rsidRDefault="00E17415" w:rsidP="00E17415">
      <w:pPr>
        <w:ind w:right="-86"/>
        <w:jc w:val="both"/>
        <w:rPr>
          <w:rFonts w:ascii="Verdana" w:hAnsi="Verdana" w:cs="Arial"/>
          <w:color w:val="000000"/>
          <w:sz w:val="22"/>
          <w:szCs w:val="22"/>
        </w:rPr>
      </w:pPr>
    </w:p>
    <w:p w14:paraId="7E0DA4D7" w14:textId="25254412" w:rsidR="00E17415" w:rsidRPr="00C60BCA" w:rsidRDefault="00E17415" w:rsidP="00E17415">
      <w:pPr>
        <w:spacing w:line="276" w:lineRule="auto"/>
        <w:ind w:right="-86"/>
        <w:jc w:val="both"/>
        <w:rPr>
          <w:rFonts w:ascii="Verdana" w:hAnsi="Verdana" w:cs="Arial"/>
          <w:color w:val="000000"/>
          <w:sz w:val="22"/>
          <w:szCs w:val="22"/>
        </w:rPr>
      </w:pPr>
      <w:r w:rsidRPr="00C60BCA">
        <w:rPr>
          <w:rFonts w:ascii="Verdana" w:hAnsi="Verdana" w:cs="Arial"/>
          <w:b/>
          <w:bCs/>
          <w:color w:val="000000" w:themeColor="text1"/>
          <w:sz w:val="22"/>
          <w:szCs w:val="22"/>
        </w:rPr>
        <w:t>Artículo 3. Inalterabilidad de los documentos tipo.</w:t>
      </w:r>
      <w:r w:rsidRPr="00C60BCA">
        <w:rPr>
          <w:rFonts w:ascii="Verdana" w:hAnsi="Verdana" w:cs="Arial"/>
          <w:color w:val="4A4A4A"/>
          <w:sz w:val="22"/>
          <w:szCs w:val="22"/>
        </w:rPr>
        <w:t xml:space="preserve"> </w:t>
      </w:r>
      <w:r w:rsidRPr="00C60BCA">
        <w:rPr>
          <w:rFonts w:ascii="Verdana" w:hAnsi="Verdana" w:cs="Arial"/>
          <w:color w:val="000000" w:themeColor="text1"/>
          <w:sz w:val="22"/>
          <w:szCs w:val="22"/>
        </w:rPr>
        <w:t>De conformidad con el artículo 1 de la Ley 2022 de 2020, los documentos tipo son obligatorios en la actividad contractual de las Entidades Estatales sometidas al Estatuto General de Contratación de la Administración Pública, patrimonios autónomos o personas naturales o jurídicas de derecho público o privado que por manda</w:t>
      </w:r>
      <w:r w:rsidR="003C0A83">
        <w:rPr>
          <w:rFonts w:ascii="Verdana" w:hAnsi="Verdana" w:cs="Arial"/>
          <w:color w:val="000000" w:themeColor="text1"/>
          <w:sz w:val="22"/>
          <w:szCs w:val="22"/>
        </w:rPr>
        <w:t>to</w:t>
      </w:r>
      <w:r w:rsidRPr="00C60BCA">
        <w:rPr>
          <w:rFonts w:ascii="Verdana" w:hAnsi="Verdana" w:cs="Arial"/>
          <w:color w:val="000000" w:themeColor="text1"/>
          <w:sz w:val="22"/>
          <w:szCs w:val="22"/>
        </w:rPr>
        <w:t xml:space="preserve"> legal estén obligadas a su aplicación. En consecuencia, los obligados a su aplicación, al adelantar sus procedimientos de selección, solo podrán modificarlos en los aspectos en que los documentos tipo lo permitan.</w:t>
      </w:r>
    </w:p>
    <w:p w14:paraId="6C79C257" w14:textId="77777777" w:rsidR="00E17415" w:rsidRPr="00C60BCA" w:rsidRDefault="00E17415" w:rsidP="00E17415">
      <w:pPr>
        <w:spacing w:line="276" w:lineRule="auto"/>
        <w:ind w:right="-86"/>
        <w:jc w:val="both"/>
        <w:rPr>
          <w:rFonts w:ascii="Verdana" w:hAnsi="Verdana" w:cs="Arial"/>
          <w:b/>
          <w:bCs/>
          <w:color w:val="000000"/>
          <w:sz w:val="22"/>
          <w:szCs w:val="22"/>
        </w:rPr>
      </w:pPr>
    </w:p>
    <w:p w14:paraId="162175B9" w14:textId="37DE7D93"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b/>
          <w:bCs/>
          <w:color w:val="000000" w:themeColor="text1"/>
          <w:sz w:val="22"/>
          <w:szCs w:val="22"/>
        </w:rPr>
        <w:t xml:space="preserve">Artículo 4.  Obras, bienes o servicios adicionales a la </w:t>
      </w:r>
      <w:r w:rsidR="00881D7B" w:rsidRPr="00C60BCA">
        <w:rPr>
          <w:rFonts w:ascii="Verdana" w:hAnsi="Verdana" w:cs="Arial"/>
          <w:b/>
          <w:bCs/>
          <w:color w:val="000000" w:themeColor="text1"/>
          <w:sz w:val="22"/>
          <w:szCs w:val="22"/>
        </w:rPr>
        <w:t xml:space="preserve">interventoría de </w:t>
      </w:r>
      <w:r w:rsidRPr="00C60BCA">
        <w:rPr>
          <w:rFonts w:ascii="Verdana" w:hAnsi="Verdana" w:cs="Arial"/>
          <w:b/>
          <w:bCs/>
          <w:color w:val="000000" w:themeColor="text1"/>
          <w:sz w:val="22"/>
          <w:szCs w:val="22"/>
        </w:rPr>
        <w:t xml:space="preserve">obra pública de infraestructura social. </w:t>
      </w:r>
      <w:r w:rsidRPr="00C60BCA">
        <w:rPr>
          <w:rFonts w:ascii="Verdana" w:hAnsi="Verdana" w:cs="Arial"/>
          <w:color w:val="000000" w:themeColor="text1"/>
          <w:sz w:val="22"/>
          <w:szCs w:val="22"/>
        </w:rPr>
        <w:t>Cuando el objeto contractual incluya</w:t>
      </w:r>
      <w:r w:rsidR="00D03D9C" w:rsidRPr="00C60BCA">
        <w:rPr>
          <w:rFonts w:ascii="Verdana" w:hAnsi="Verdana" w:cs="Arial"/>
          <w:color w:val="000000" w:themeColor="text1"/>
          <w:sz w:val="22"/>
          <w:szCs w:val="22"/>
        </w:rPr>
        <w:t xml:space="preserve"> la interventoría</w:t>
      </w:r>
      <w:r w:rsidRPr="00C60BCA">
        <w:rPr>
          <w:rFonts w:ascii="Verdana" w:hAnsi="Verdana" w:cs="Arial"/>
          <w:color w:val="000000" w:themeColor="text1"/>
          <w:sz w:val="22"/>
          <w:szCs w:val="22"/>
        </w:rPr>
        <w:t xml:space="preserve"> </w:t>
      </w:r>
      <w:r w:rsidR="00D03D9C" w:rsidRPr="00C60BCA">
        <w:rPr>
          <w:rFonts w:ascii="Verdana" w:hAnsi="Verdana" w:cs="Arial"/>
          <w:color w:val="000000" w:themeColor="text1"/>
          <w:sz w:val="22"/>
          <w:szCs w:val="22"/>
        </w:rPr>
        <w:t xml:space="preserve">a </w:t>
      </w:r>
      <w:r w:rsidRPr="00C60BCA">
        <w:rPr>
          <w:rFonts w:ascii="Verdana" w:hAnsi="Verdana" w:cs="Arial"/>
          <w:color w:val="000000" w:themeColor="text1"/>
          <w:sz w:val="22"/>
          <w:szCs w:val="22"/>
        </w:rPr>
        <w:t>obras, bienes o servicios adicionales a la</w:t>
      </w:r>
      <w:r w:rsidR="00AA53A0">
        <w:rPr>
          <w:rFonts w:ascii="Verdana" w:hAnsi="Verdana" w:cs="Arial"/>
          <w:color w:val="000000" w:themeColor="text1"/>
          <w:sz w:val="22"/>
          <w:szCs w:val="22"/>
        </w:rPr>
        <w:t xml:space="preserve"> de obra pública</w:t>
      </w:r>
      <w:r w:rsidR="00E43081">
        <w:rPr>
          <w:rFonts w:ascii="Verdana" w:hAnsi="Verdana" w:cs="Arial"/>
          <w:color w:val="000000" w:themeColor="text1"/>
          <w:sz w:val="22"/>
          <w:szCs w:val="22"/>
        </w:rPr>
        <w:t xml:space="preserve"> de infraestructura</w:t>
      </w:r>
      <w:r w:rsidRPr="00C60BCA">
        <w:rPr>
          <w:rFonts w:ascii="Verdana" w:hAnsi="Verdana" w:cs="Arial"/>
          <w:color w:val="000000" w:themeColor="text1"/>
          <w:sz w:val="22"/>
          <w:szCs w:val="22"/>
        </w:rPr>
        <w:t xml:space="preserve"> social, la </w:t>
      </w:r>
      <w:r w:rsidR="009B5854">
        <w:rPr>
          <w:rFonts w:ascii="Verdana" w:hAnsi="Verdana" w:cs="Arial"/>
          <w:color w:val="000000" w:themeColor="text1"/>
          <w:sz w:val="22"/>
          <w:szCs w:val="22"/>
        </w:rPr>
        <w:t>E</w:t>
      </w:r>
      <w:r w:rsidRPr="00C60BCA">
        <w:rPr>
          <w:rFonts w:ascii="Verdana" w:hAnsi="Verdana" w:cs="Arial"/>
          <w:color w:val="000000" w:themeColor="text1"/>
          <w:sz w:val="22"/>
          <w:szCs w:val="22"/>
        </w:rPr>
        <w:t xml:space="preserve">ntidad </w:t>
      </w:r>
      <w:r w:rsidR="009B5854">
        <w:rPr>
          <w:rFonts w:ascii="Verdana" w:hAnsi="Verdana" w:cs="Arial"/>
          <w:color w:val="000000" w:themeColor="text1"/>
          <w:sz w:val="22"/>
          <w:szCs w:val="22"/>
        </w:rPr>
        <w:t>E</w:t>
      </w:r>
      <w:r w:rsidRPr="00C60BCA">
        <w:rPr>
          <w:rFonts w:ascii="Verdana" w:hAnsi="Verdana" w:cs="Arial"/>
          <w:color w:val="000000" w:themeColor="text1"/>
          <w:sz w:val="22"/>
          <w:szCs w:val="22"/>
        </w:rPr>
        <w:t>statal deberá aplicar los documentos tipo. Si de manera excepcional requiere incluir experiencia adicional para evaluar la idoneidad respecto de l</w:t>
      </w:r>
      <w:r w:rsidR="00860E1A" w:rsidRPr="00C60BCA">
        <w:rPr>
          <w:rFonts w:ascii="Verdana" w:hAnsi="Verdana" w:cs="Arial"/>
          <w:color w:val="000000" w:themeColor="text1"/>
          <w:sz w:val="22"/>
          <w:szCs w:val="22"/>
        </w:rPr>
        <w:t>a interventoría de obras</w:t>
      </w:r>
      <w:r w:rsidR="00316D61" w:rsidRPr="00C60BCA">
        <w:rPr>
          <w:rFonts w:ascii="Verdana" w:hAnsi="Verdana" w:cs="Arial"/>
          <w:color w:val="000000" w:themeColor="text1"/>
          <w:sz w:val="22"/>
          <w:szCs w:val="22"/>
        </w:rPr>
        <w:t>,</w:t>
      </w:r>
      <w:r w:rsidRPr="00C60BCA">
        <w:rPr>
          <w:rFonts w:ascii="Verdana" w:hAnsi="Verdana" w:cs="Arial"/>
          <w:color w:val="000000" w:themeColor="text1"/>
          <w:sz w:val="22"/>
          <w:szCs w:val="22"/>
        </w:rPr>
        <w:t xml:space="preserve"> bienes o servicios adicionales a la </w:t>
      </w:r>
      <w:r w:rsidR="00A70DDD">
        <w:rPr>
          <w:rFonts w:ascii="Verdana" w:hAnsi="Verdana" w:cs="Arial"/>
          <w:color w:val="000000" w:themeColor="text1"/>
          <w:sz w:val="22"/>
          <w:szCs w:val="22"/>
        </w:rPr>
        <w:t>obra pública</w:t>
      </w:r>
      <w:r w:rsidR="00177E87" w:rsidRPr="00C60BCA">
        <w:rPr>
          <w:rFonts w:ascii="Verdana" w:hAnsi="Verdana" w:cs="Arial"/>
          <w:color w:val="000000" w:themeColor="text1"/>
          <w:sz w:val="22"/>
          <w:szCs w:val="22"/>
        </w:rPr>
        <w:t xml:space="preserve"> </w:t>
      </w:r>
      <w:r w:rsidRPr="00C60BCA">
        <w:rPr>
          <w:rFonts w:ascii="Verdana" w:hAnsi="Verdana" w:cs="Arial"/>
          <w:color w:val="000000" w:themeColor="text1"/>
          <w:sz w:val="22"/>
          <w:szCs w:val="22"/>
        </w:rPr>
        <w:t>de infraestructura social, deberá seguir los siguientes parámetros:</w:t>
      </w:r>
    </w:p>
    <w:p w14:paraId="1CAE0643"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5B32F9D3" w14:textId="6D84546E"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color w:val="000000" w:themeColor="text1"/>
          <w:sz w:val="22"/>
          <w:szCs w:val="22"/>
        </w:rPr>
        <w:t xml:space="preserve">1. Demostrar en los estudios previos que ha verificado las condiciones de mercado para la </w:t>
      </w:r>
      <w:r w:rsidR="00316D61" w:rsidRPr="00C60BCA">
        <w:rPr>
          <w:rFonts w:ascii="Verdana" w:hAnsi="Verdana" w:cs="Arial"/>
          <w:color w:val="000000" w:themeColor="text1"/>
          <w:sz w:val="22"/>
          <w:szCs w:val="22"/>
        </w:rPr>
        <w:t>interventoría de las obras</w:t>
      </w:r>
      <w:r w:rsidRPr="00C60BCA">
        <w:rPr>
          <w:rFonts w:ascii="Verdana" w:hAnsi="Verdana" w:cs="Arial"/>
          <w:color w:val="000000" w:themeColor="text1"/>
          <w:sz w:val="22"/>
          <w:szCs w:val="22"/>
        </w:rPr>
        <w:t>, bienes o servicios adicionales al componente de</w:t>
      </w:r>
      <w:r w:rsidR="001E2CFA" w:rsidRPr="00C60BCA">
        <w:rPr>
          <w:rFonts w:ascii="Verdana" w:hAnsi="Verdana" w:cs="Arial"/>
          <w:color w:val="000000" w:themeColor="text1"/>
          <w:sz w:val="22"/>
          <w:szCs w:val="22"/>
        </w:rPr>
        <w:t xml:space="preserve"> </w:t>
      </w:r>
      <w:r w:rsidR="00732411">
        <w:rPr>
          <w:rFonts w:ascii="Verdana" w:hAnsi="Verdana" w:cs="Arial"/>
          <w:color w:val="000000" w:themeColor="text1"/>
          <w:sz w:val="22"/>
          <w:szCs w:val="22"/>
        </w:rPr>
        <w:t xml:space="preserve">obra pública </w:t>
      </w:r>
      <w:r w:rsidR="001E2CFA" w:rsidRPr="00C60BCA">
        <w:rPr>
          <w:rFonts w:ascii="Verdana" w:hAnsi="Verdana" w:cs="Arial"/>
          <w:color w:val="000000" w:themeColor="text1"/>
          <w:sz w:val="22"/>
          <w:szCs w:val="22"/>
        </w:rPr>
        <w:t>de infraestructura social</w:t>
      </w:r>
      <w:r w:rsidRPr="00C60BCA">
        <w:rPr>
          <w:rFonts w:ascii="Verdana" w:hAnsi="Verdana" w:cs="Arial"/>
          <w:color w:val="000000" w:themeColor="text1"/>
          <w:sz w:val="22"/>
          <w:szCs w:val="22"/>
        </w:rPr>
        <w:t xml:space="preserve">, de tal manera que la experiencia adicional que se exija para </w:t>
      </w:r>
      <w:r w:rsidR="00C55FB4" w:rsidRPr="00C60BCA">
        <w:rPr>
          <w:rFonts w:ascii="Verdana" w:hAnsi="Verdana" w:cs="Arial"/>
          <w:color w:val="000000" w:themeColor="text1"/>
          <w:sz w:val="22"/>
          <w:szCs w:val="22"/>
        </w:rPr>
        <w:t xml:space="preserve">dicha interventoría procure la pluralidad de oferentes y no </w:t>
      </w:r>
      <w:r w:rsidRPr="00C60BCA">
        <w:rPr>
          <w:rFonts w:ascii="Verdana" w:hAnsi="Verdana" w:cs="Arial"/>
          <w:color w:val="000000" w:themeColor="text1"/>
          <w:sz w:val="22"/>
          <w:szCs w:val="22"/>
        </w:rPr>
        <w:t xml:space="preserve">limite la concurrencia al proceso de contratación. </w:t>
      </w:r>
    </w:p>
    <w:p w14:paraId="4DA70A6A"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1C475A87" w14:textId="77777777"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color w:val="000000" w:themeColor="text1"/>
          <w:sz w:val="22"/>
          <w:szCs w:val="22"/>
        </w:rPr>
        <w:t>Para tal efecto, la entidad realizará el estudio previo y el análisis del sector en los términos de los artículos 2.2.1.1.1.6.1 y 2.2.1.1.1.6.2 del Decreto 1082 de 2015, o la norma que los adicione, complemente o sustituya.</w:t>
      </w:r>
    </w:p>
    <w:p w14:paraId="7868B499"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63E53D54" w14:textId="77777777"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color w:val="000000" w:themeColor="text1"/>
          <w:sz w:val="22"/>
          <w:szCs w:val="22"/>
        </w:rPr>
        <w:t>2. Conservar los requisitos exigidos en los documentos tipo.</w:t>
      </w:r>
    </w:p>
    <w:p w14:paraId="6C6EA125"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6B28FC47" w14:textId="2D2CDEAF"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color w:val="000000" w:themeColor="text1"/>
          <w:sz w:val="22"/>
          <w:szCs w:val="22"/>
        </w:rPr>
        <w:t xml:space="preserve">3. Abstenerse de pedir experiencia exclusiva con </w:t>
      </w:r>
      <w:r w:rsidR="009B5854">
        <w:rPr>
          <w:rFonts w:ascii="Verdana" w:hAnsi="Verdana" w:cs="Arial"/>
          <w:color w:val="000000" w:themeColor="text1"/>
          <w:sz w:val="22"/>
          <w:szCs w:val="22"/>
        </w:rPr>
        <w:t>E</w:t>
      </w:r>
      <w:r w:rsidRPr="00C60BCA">
        <w:rPr>
          <w:rFonts w:ascii="Verdana" w:hAnsi="Verdana" w:cs="Arial"/>
          <w:color w:val="000000" w:themeColor="text1"/>
          <w:sz w:val="22"/>
          <w:szCs w:val="22"/>
        </w:rPr>
        <w:t xml:space="preserve">ntidades </w:t>
      </w:r>
      <w:r w:rsidR="009B5854">
        <w:rPr>
          <w:rFonts w:ascii="Verdana" w:hAnsi="Verdana" w:cs="Arial"/>
          <w:color w:val="000000" w:themeColor="text1"/>
          <w:sz w:val="22"/>
          <w:szCs w:val="22"/>
        </w:rPr>
        <w:t>E</w:t>
      </w:r>
      <w:r w:rsidRPr="00C60BCA">
        <w:rPr>
          <w:rFonts w:ascii="Verdana" w:hAnsi="Verdana" w:cs="Arial"/>
          <w:color w:val="000000" w:themeColor="text1"/>
          <w:sz w:val="22"/>
          <w:szCs w:val="22"/>
        </w:rPr>
        <w:t xml:space="preserve">statales, experiencia previa en un territorio específico, limitada en el tiempo o que incluya volúmenes o cantidades de obra específica. </w:t>
      </w:r>
    </w:p>
    <w:p w14:paraId="1E63291B"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5D2CA748" w14:textId="77777777"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color w:val="000000" w:themeColor="text1"/>
          <w:sz w:val="22"/>
          <w:szCs w:val="22"/>
        </w:rPr>
        <w:t>4. Clasificar la experiencia requerida solo hasta el tercer nivel del Clasificador de Bienes y Servicios e incluir exclusivamente los códigos que estén relacionados directamente con el objeto a contratar.</w:t>
      </w:r>
    </w:p>
    <w:p w14:paraId="151A5105"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2DA2FAD1" w14:textId="7F66477F"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b/>
          <w:bCs/>
          <w:color w:val="000000" w:themeColor="text1"/>
          <w:sz w:val="22"/>
          <w:szCs w:val="22"/>
        </w:rPr>
        <w:lastRenderedPageBreak/>
        <w:t>Parágrafo 1°.</w:t>
      </w:r>
      <w:r w:rsidRPr="00C60BCA">
        <w:rPr>
          <w:rFonts w:ascii="Verdana" w:hAnsi="Verdana" w:cs="Arial"/>
          <w:color w:val="000000" w:themeColor="text1"/>
          <w:sz w:val="22"/>
          <w:szCs w:val="22"/>
        </w:rPr>
        <w:t xml:space="preserve"> En los casos que el objeto contractual incluya actividades abarcadas por otros documentos tipo</w:t>
      </w:r>
      <w:r w:rsidR="00770754">
        <w:rPr>
          <w:rFonts w:ascii="Verdana" w:hAnsi="Verdana" w:cs="Arial"/>
          <w:color w:val="000000" w:themeColor="text1"/>
          <w:sz w:val="22"/>
          <w:szCs w:val="22"/>
        </w:rPr>
        <w:t xml:space="preserve"> expedidos por la Agencia Nacional de Contratación Pública – Colombia Compra Eficiente</w:t>
      </w:r>
      <w:r w:rsidRPr="00C60BCA">
        <w:rPr>
          <w:rFonts w:ascii="Verdana" w:hAnsi="Verdana" w:cs="Arial"/>
          <w:color w:val="000000" w:themeColor="text1"/>
          <w:sz w:val="22"/>
          <w:szCs w:val="22"/>
        </w:rPr>
        <w:t xml:space="preserve">, la Entidad Estatal aplicará las reglas de combinación de experiencia previstas en el numeral </w:t>
      </w:r>
      <w:r w:rsidR="00946365" w:rsidRPr="00C60BCA">
        <w:rPr>
          <w:rFonts w:ascii="Verdana" w:hAnsi="Verdana" w:cs="Arial"/>
          <w:color w:val="000000" w:themeColor="text1"/>
          <w:sz w:val="22"/>
          <w:szCs w:val="22"/>
          <w:highlight w:val="yellow"/>
        </w:rPr>
        <w:t>10.1.1</w:t>
      </w:r>
      <w:r w:rsidRPr="00C60BCA">
        <w:rPr>
          <w:rFonts w:ascii="Verdana" w:hAnsi="Verdana" w:cs="Arial"/>
          <w:color w:val="000000" w:themeColor="text1"/>
          <w:sz w:val="22"/>
          <w:szCs w:val="22"/>
        </w:rPr>
        <w:t xml:space="preserve"> del documento base.</w:t>
      </w:r>
    </w:p>
    <w:p w14:paraId="607D0123"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342FE985" w14:textId="77777777" w:rsidR="001F3A59" w:rsidRPr="008869B1" w:rsidRDefault="00E17415" w:rsidP="001F3A59">
      <w:pPr>
        <w:spacing w:line="276" w:lineRule="auto"/>
        <w:ind w:right="-86"/>
        <w:jc w:val="both"/>
        <w:rPr>
          <w:rFonts w:ascii="Verdana" w:hAnsi="Verdana" w:cs="Arial"/>
          <w:color w:val="000000" w:themeColor="text1"/>
          <w:sz w:val="22"/>
          <w:szCs w:val="22"/>
        </w:rPr>
      </w:pPr>
      <w:r w:rsidRPr="00715C65">
        <w:rPr>
          <w:rFonts w:ascii="Verdana" w:hAnsi="Verdana" w:cs="Arial"/>
          <w:b/>
          <w:bCs/>
          <w:color w:val="000000" w:themeColor="text1"/>
          <w:sz w:val="22"/>
          <w:szCs w:val="22"/>
        </w:rPr>
        <w:t>Parágrafo 2°.</w:t>
      </w:r>
      <w:r w:rsidRPr="00C60BCA">
        <w:rPr>
          <w:rFonts w:ascii="Verdana" w:hAnsi="Verdana" w:cs="Arial"/>
          <w:color w:val="000000" w:themeColor="text1"/>
          <w:sz w:val="22"/>
          <w:szCs w:val="22"/>
        </w:rPr>
        <w:t xml:space="preserve"> </w:t>
      </w:r>
      <w:r w:rsidR="001F3A59" w:rsidRPr="008869B1">
        <w:rPr>
          <w:rFonts w:ascii="Verdana" w:hAnsi="Verdana" w:cs="Arial"/>
          <w:color w:val="000000" w:themeColor="text1"/>
          <w:sz w:val="22"/>
          <w:szCs w:val="22"/>
        </w:rPr>
        <w:t>Para los efectos de este artículo se entiende por “obras, bienes o servicios adicionales” aquellas actividades que no están incluidas en la matriz de experiencia de los documentos tipo de infraestructura social aplicable</w:t>
      </w:r>
      <w:r w:rsidR="001F3A59">
        <w:rPr>
          <w:rFonts w:ascii="Verdana" w:hAnsi="Verdana" w:cs="Arial"/>
          <w:color w:val="000000" w:themeColor="text1"/>
          <w:sz w:val="22"/>
          <w:szCs w:val="22"/>
        </w:rPr>
        <w:t xml:space="preserve"> o de otras matrices de experiencia de documentos tipo adoptados por esta Agencia que se encuentren vigentes</w:t>
      </w:r>
      <w:r w:rsidR="001F3A59" w:rsidRPr="008869B1">
        <w:rPr>
          <w:rFonts w:ascii="Verdana" w:hAnsi="Verdana" w:cs="Arial"/>
          <w:color w:val="000000" w:themeColor="text1"/>
          <w:sz w:val="22"/>
          <w:szCs w:val="22"/>
        </w:rPr>
        <w:t xml:space="preserve">, pero que están relacionadas con el contrato a ejecutar. </w:t>
      </w:r>
      <w:r w:rsidR="001F3A59">
        <w:rPr>
          <w:rFonts w:ascii="Verdana" w:hAnsi="Verdana" w:cs="Arial"/>
          <w:color w:val="000000" w:themeColor="text1"/>
          <w:sz w:val="22"/>
          <w:szCs w:val="22"/>
        </w:rPr>
        <w:t xml:space="preserve"> </w:t>
      </w:r>
    </w:p>
    <w:p w14:paraId="6AEE1CD8"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4BD5698D" w14:textId="5EDF8C5B"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b/>
          <w:bCs/>
          <w:color w:val="000000" w:themeColor="text1"/>
          <w:sz w:val="22"/>
          <w:szCs w:val="22"/>
        </w:rPr>
        <w:t>Parágrafo 3°.</w:t>
      </w:r>
      <w:r w:rsidRPr="00C60BCA">
        <w:rPr>
          <w:rFonts w:ascii="Verdana" w:hAnsi="Verdana" w:cs="Arial"/>
          <w:color w:val="000000" w:themeColor="text1"/>
          <w:sz w:val="22"/>
          <w:szCs w:val="22"/>
        </w:rPr>
        <w:t xml:space="preserve"> </w:t>
      </w:r>
      <w:r w:rsidR="008A434F" w:rsidRPr="008A434F">
        <w:rPr>
          <w:rFonts w:ascii="Verdana" w:hAnsi="Verdana" w:cs="Arial"/>
          <w:color w:val="000000" w:themeColor="text1"/>
          <w:sz w:val="22"/>
          <w:szCs w:val="22"/>
        </w:rPr>
        <w:t xml:space="preserve"> </w:t>
      </w:r>
      <w:r w:rsidR="008A434F" w:rsidRPr="008869B1">
        <w:rPr>
          <w:rFonts w:ascii="Verdana" w:hAnsi="Verdana" w:cs="Arial"/>
          <w:color w:val="000000" w:themeColor="text1"/>
          <w:sz w:val="22"/>
          <w:szCs w:val="22"/>
        </w:rPr>
        <w:t>Para la aplicación de este artículo, se entiende por experiencia adicional aquella que no está definida en la matriz de experiencia de infraestructura social aplicable</w:t>
      </w:r>
      <w:r w:rsidR="008A434F">
        <w:rPr>
          <w:rFonts w:ascii="Verdana" w:hAnsi="Verdana" w:cs="Arial"/>
          <w:color w:val="000000" w:themeColor="text1"/>
          <w:sz w:val="22"/>
          <w:szCs w:val="22"/>
        </w:rPr>
        <w:t xml:space="preserve"> o de otras matrices de experiencia de documentos tipo adoptados por esta</w:t>
      </w:r>
      <w:r w:rsidR="00D41EDC">
        <w:rPr>
          <w:rFonts w:ascii="Verdana" w:hAnsi="Verdana" w:cs="Arial"/>
          <w:color w:val="000000" w:themeColor="text1"/>
          <w:sz w:val="22"/>
          <w:szCs w:val="22"/>
        </w:rPr>
        <w:t xml:space="preserve"> </w:t>
      </w:r>
      <w:r w:rsidR="008A434F">
        <w:rPr>
          <w:rFonts w:ascii="Verdana" w:hAnsi="Verdana" w:cs="Arial"/>
          <w:color w:val="000000" w:themeColor="text1"/>
          <w:sz w:val="22"/>
          <w:szCs w:val="22"/>
        </w:rPr>
        <w:t>Agencia que se encuentren vigentes</w:t>
      </w:r>
      <w:r w:rsidR="008A434F" w:rsidRPr="008869B1">
        <w:rPr>
          <w:rFonts w:ascii="Verdana" w:hAnsi="Verdana" w:cs="Arial"/>
          <w:color w:val="000000" w:themeColor="text1"/>
          <w:sz w:val="22"/>
          <w:szCs w:val="22"/>
        </w:rPr>
        <w:t>, pero que la Entidad Estatal considera necesaria para garantizar la idoneidad del contratista para la ejecución del proyecto, puesto que está relacionada con el objeto a ejecutar.</w:t>
      </w:r>
    </w:p>
    <w:p w14:paraId="553F3364"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73790E19" w14:textId="409B47E2" w:rsidR="00485426" w:rsidRPr="006C55AD" w:rsidRDefault="00E17415" w:rsidP="00485426">
      <w:pPr>
        <w:spacing w:line="276" w:lineRule="auto"/>
        <w:jc w:val="both"/>
        <w:rPr>
          <w:rFonts w:ascii="Verdana" w:hAnsi="Verdana"/>
          <w:sz w:val="22"/>
        </w:rPr>
      </w:pPr>
      <w:r w:rsidRPr="00C60BCA">
        <w:rPr>
          <w:rFonts w:ascii="Verdana" w:hAnsi="Verdana" w:cs="Arial"/>
          <w:b/>
          <w:bCs/>
          <w:color w:val="000000" w:themeColor="text1"/>
          <w:sz w:val="22"/>
          <w:szCs w:val="22"/>
        </w:rPr>
        <w:t>Parágrafo 4°.</w:t>
      </w:r>
      <w:r w:rsidRPr="00C60BCA">
        <w:rPr>
          <w:rFonts w:ascii="Verdana" w:hAnsi="Verdana" w:cs="Arial"/>
          <w:color w:val="000000" w:themeColor="text1"/>
          <w:sz w:val="22"/>
          <w:szCs w:val="22"/>
        </w:rPr>
        <w:t xml:space="preserve"> </w:t>
      </w:r>
      <w:r w:rsidR="00485426" w:rsidRPr="00AB14A2">
        <w:rPr>
          <w:rFonts w:ascii="Verdana" w:hAnsi="Verdana"/>
          <w:sz w:val="22"/>
        </w:rPr>
        <w:t>En caso</w:t>
      </w:r>
      <w:r w:rsidR="00485426" w:rsidRPr="006C55AD">
        <w:rPr>
          <w:rFonts w:ascii="Verdana" w:hAnsi="Verdana"/>
          <w:sz w:val="22"/>
        </w:rPr>
        <w:t xml:space="preserve"> de que la entidad considere pertinente incorporar experiencia relacionada con obras, bienes o servicios adicionales a</w:t>
      </w:r>
      <w:r w:rsidR="00AB14A2">
        <w:rPr>
          <w:rFonts w:ascii="Verdana" w:hAnsi="Verdana"/>
          <w:sz w:val="22"/>
        </w:rPr>
        <w:t xml:space="preserve"> </w:t>
      </w:r>
      <w:r w:rsidR="00882E38">
        <w:rPr>
          <w:rFonts w:ascii="Verdana" w:hAnsi="Verdana"/>
          <w:sz w:val="22"/>
        </w:rPr>
        <w:t xml:space="preserve">la </w:t>
      </w:r>
      <w:r w:rsidR="00AB14A2">
        <w:rPr>
          <w:rFonts w:ascii="Verdana" w:hAnsi="Verdana"/>
          <w:sz w:val="22"/>
        </w:rPr>
        <w:t>interventoría</w:t>
      </w:r>
      <w:r w:rsidR="00485426" w:rsidRPr="006C55AD">
        <w:rPr>
          <w:rFonts w:ascii="Verdana" w:hAnsi="Verdana"/>
          <w:sz w:val="22"/>
        </w:rPr>
        <w:t xml:space="preserve">, podrá reemplazar como máximo una (1) de las actividades secundarias. Para esta incorporación, deberán observarse las mismas reglas establecidas para las actividades secundarias </w:t>
      </w:r>
      <w:r w:rsidR="00485426">
        <w:rPr>
          <w:rFonts w:ascii="Verdana" w:hAnsi="Verdana"/>
          <w:sz w:val="22"/>
        </w:rPr>
        <w:t xml:space="preserve">contenidas en el numeral </w:t>
      </w:r>
      <w:r w:rsidR="00484869">
        <w:rPr>
          <w:rFonts w:ascii="Verdana" w:hAnsi="Verdana"/>
          <w:sz w:val="22"/>
        </w:rPr>
        <w:t>10</w:t>
      </w:r>
      <w:r w:rsidR="00485426">
        <w:rPr>
          <w:rFonts w:ascii="Verdana" w:hAnsi="Verdana"/>
          <w:sz w:val="22"/>
        </w:rPr>
        <w:t>.</w:t>
      </w:r>
      <w:r w:rsidR="00484869">
        <w:rPr>
          <w:rFonts w:ascii="Verdana" w:hAnsi="Verdana"/>
          <w:sz w:val="22"/>
        </w:rPr>
        <w:t>1</w:t>
      </w:r>
      <w:r w:rsidR="00485426">
        <w:rPr>
          <w:rFonts w:ascii="Verdana" w:hAnsi="Verdana"/>
          <w:sz w:val="22"/>
        </w:rPr>
        <w:t>.1 del Documento Base</w:t>
      </w:r>
      <w:r w:rsidR="00485426" w:rsidRPr="006C55AD">
        <w:rPr>
          <w:rFonts w:ascii="Verdana" w:hAnsi="Verdana"/>
          <w:sz w:val="22"/>
        </w:rPr>
        <w:t>. En todo caso, deberá tenerse en cuenta que la entidad no podrá solicitar más de tres actividades en total, incluyendo la actividad principal. Por lo tanto, además de la actividad principal, deberá determinar si exige dos actividades secundarias o una actividad secundaria y una adicional.</w:t>
      </w:r>
    </w:p>
    <w:p w14:paraId="74A3761E" w14:textId="54348A23" w:rsidR="00E17415" w:rsidRPr="00C60BCA" w:rsidRDefault="00E17415" w:rsidP="00E17415">
      <w:pPr>
        <w:spacing w:line="276" w:lineRule="auto"/>
        <w:ind w:right="-86"/>
        <w:jc w:val="both"/>
        <w:rPr>
          <w:rFonts w:ascii="Verdana" w:hAnsi="Verdana" w:cs="Arial"/>
          <w:color w:val="000000" w:themeColor="text1"/>
          <w:sz w:val="22"/>
          <w:szCs w:val="22"/>
        </w:rPr>
      </w:pPr>
    </w:p>
    <w:p w14:paraId="37F2CB0C" w14:textId="0DAC01CA" w:rsidR="00AB14A2" w:rsidRPr="00532BFB" w:rsidRDefault="00AB14A2" w:rsidP="00AB14A2">
      <w:pPr>
        <w:spacing w:line="276" w:lineRule="auto"/>
        <w:jc w:val="both"/>
        <w:rPr>
          <w:rFonts w:ascii="Verdana" w:hAnsi="Verdana"/>
          <w:sz w:val="22"/>
        </w:rPr>
      </w:pPr>
      <w:r w:rsidRPr="006C55AD">
        <w:rPr>
          <w:rFonts w:ascii="Verdana" w:hAnsi="Verdana"/>
          <w:sz w:val="22"/>
        </w:rPr>
        <w:t>En ningún caso deberá entenderse que la inclusión de una actividad adicional equivale al procedimiento</w:t>
      </w:r>
      <w:r>
        <w:rPr>
          <w:rFonts w:ascii="Verdana" w:hAnsi="Verdana"/>
          <w:sz w:val="22"/>
        </w:rPr>
        <w:t xml:space="preserve"> establecido para la</w:t>
      </w:r>
      <w:r w:rsidRPr="006C55AD">
        <w:rPr>
          <w:rFonts w:ascii="Verdana" w:hAnsi="Verdana"/>
          <w:sz w:val="22"/>
        </w:rPr>
        <w:t xml:space="preserve"> combinación de experiencia. Para este último caso, se deberá aplicar lo establecido en el numeral </w:t>
      </w:r>
      <w:r w:rsidR="00D92128">
        <w:rPr>
          <w:rFonts w:ascii="Verdana" w:hAnsi="Verdana"/>
          <w:sz w:val="22"/>
        </w:rPr>
        <w:t>i</w:t>
      </w:r>
      <w:r w:rsidRPr="006C55AD">
        <w:rPr>
          <w:rFonts w:ascii="Verdana" w:hAnsi="Verdana"/>
          <w:sz w:val="22"/>
        </w:rPr>
        <w:t xml:space="preserve"> del literal A del </w:t>
      </w:r>
      <w:r>
        <w:rPr>
          <w:rFonts w:ascii="Verdana" w:hAnsi="Verdana"/>
          <w:sz w:val="22"/>
        </w:rPr>
        <w:t xml:space="preserve">numeral </w:t>
      </w:r>
      <w:r w:rsidR="008361D8">
        <w:rPr>
          <w:rFonts w:ascii="Verdana" w:hAnsi="Verdana"/>
          <w:sz w:val="22"/>
        </w:rPr>
        <w:t>10</w:t>
      </w:r>
      <w:r>
        <w:rPr>
          <w:rFonts w:ascii="Verdana" w:hAnsi="Verdana"/>
          <w:sz w:val="22"/>
        </w:rPr>
        <w:t>.</w:t>
      </w:r>
      <w:r w:rsidR="008361D8">
        <w:rPr>
          <w:rFonts w:ascii="Verdana" w:hAnsi="Verdana"/>
          <w:sz w:val="22"/>
        </w:rPr>
        <w:t>1</w:t>
      </w:r>
      <w:r>
        <w:rPr>
          <w:rFonts w:ascii="Verdana" w:hAnsi="Verdana"/>
          <w:sz w:val="22"/>
        </w:rPr>
        <w:t>.1 del documento base</w:t>
      </w:r>
      <w:r w:rsidRPr="006C55AD">
        <w:rPr>
          <w:rFonts w:ascii="Verdana" w:hAnsi="Verdana"/>
          <w:sz w:val="22"/>
        </w:rPr>
        <w:t>.</w:t>
      </w:r>
    </w:p>
    <w:p w14:paraId="3DF7413A"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518E304D" w14:textId="64CA3357"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b/>
          <w:bCs/>
          <w:color w:val="000000" w:themeColor="text1"/>
          <w:sz w:val="22"/>
          <w:szCs w:val="22"/>
        </w:rPr>
        <w:t xml:space="preserve">Artículo 5. Proyectos que contengan la ejecución de objetos contractuales cobijados por otros documentos tipo. </w:t>
      </w:r>
      <w:r w:rsidRPr="00C60BCA">
        <w:rPr>
          <w:rFonts w:ascii="Verdana" w:hAnsi="Verdana" w:cs="Arial"/>
          <w:color w:val="000000" w:themeColor="text1"/>
          <w:sz w:val="22"/>
          <w:szCs w:val="22"/>
        </w:rPr>
        <w:t xml:space="preserve">Cuando el objeto contractual incluya actividades de </w:t>
      </w:r>
      <w:r w:rsidR="00FA3B2B" w:rsidRPr="00C60BCA">
        <w:rPr>
          <w:rFonts w:ascii="Verdana" w:hAnsi="Verdana" w:cs="Arial"/>
          <w:color w:val="000000" w:themeColor="text1"/>
          <w:sz w:val="22"/>
          <w:szCs w:val="22"/>
        </w:rPr>
        <w:t xml:space="preserve">interventoría </w:t>
      </w:r>
      <w:r w:rsidRPr="00C60BCA">
        <w:rPr>
          <w:rFonts w:ascii="Verdana" w:hAnsi="Verdana" w:cs="Arial"/>
          <w:color w:val="000000" w:themeColor="text1"/>
          <w:sz w:val="22"/>
          <w:szCs w:val="22"/>
        </w:rPr>
        <w:t>de infraestructura social, en conjunto con actividades</w:t>
      </w:r>
      <w:r w:rsidR="00A03996" w:rsidRPr="00C60BCA">
        <w:rPr>
          <w:rFonts w:ascii="Verdana" w:hAnsi="Verdana" w:cs="Arial"/>
          <w:color w:val="000000" w:themeColor="text1"/>
          <w:sz w:val="22"/>
          <w:szCs w:val="22"/>
        </w:rPr>
        <w:t xml:space="preserve"> de interventoría</w:t>
      </w:r>
      <w:r w:rsidRPr="00C60BCA">
        <w:rPr>
          <w:rFonts w:ascii="Verdana" w:hAnsi="Verdana" w:cs="Arial"/>
          <w:color w:val="000000" w:themeColor="text1"/>
          <w:sz w:val="22"/>
          <w:szCs w:val="22"/>
        </w:rPr>
        <w:t xml:space="preserve"> cobijadas por otros documentos tipo expedidos por la Agencia Nacional de Contratación Pública -Colombia Compra Eficiente-, la entidad deberá definir qué documentos tipo aplica dependiendo de la relevancia técnica del proyecto, impacto o el valor que representan en el presupuesto oficial. </w:t>
      </w:r>
    </w:p>
    <w:p w14:paraId="56DFD8D5"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648E3B91" w14:textId="00106C9D"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color w:val="000000" w:themeColor="text1"/>
          <w:sz w:val="22"/>
          <w:szCs w:val="22"/>
        </w:rPr>
        <w:t xml:space="preserve">Teniendo en cuenta los criterios anteriores, la </w:t>
      </w:r>
      <w:r w:rsidR="00163298">
        <w:rPr>
          <w:rFonts w:ascii="Verdana" w:hAnsi="Verdana" w:cs="Arial"/>
          <w:color w:val="000000" w:themeColor="text1"/>
          <w:sz w:val="22"/>
          <w:szCs w:val="22"/>
        </w:rPr>
        <w:t>E</w:t>
      </w:r>
      <w:r w:rsidRPr="00C60BCA">
        <w:rPr>
          <w:rFonts w:ascii="Verdana" w:hAnsi="Verdana" w:cs="Arial"/>
          <w:color w:val="000000" w:themeColor="text1"/>
          <w:sz w:val="22"/>
          <w:szCs w:val="22"/>
        </w:rPr>
        <w:t xml:space="preserve">ntidad </w:t>
      </w:r>
      <w:r w:rsidR="00163298">
        <w:rPr>
          <w:rFonts w:ascii="Verdana" w:hAnsi="Verdana" w:cs="Arial"/>
          <w:color w:val="000000" w:themeColor="text1"/>
          <w:sz w:val="22"/>
          <w:szCs w:val="22"/>
        </w:rPr>
        <w:t>E</w:t>
      </w:r>
      <w:r w:rsidRPr="00C60BCA">
        <w:rPr>
          <w:rFonts w:ascii="Verdana" w:hAnsi="Verdana" w:cs="Arial"/>
          <w:color w:val="000000" w:themeColor="text1"/>
          <w:sz w:val="22"/>
          <w:szCs w:val="22"/>
        </w:rPr>
        <w:t xml:space="preserve">statal debe determinar cuál documento tipo aplica. Esto sin perjuicio de que pueda utilizar las reglas de combinación de experiencia establecidas en esos documentos, siempre que ello resulte necesario con ocasión de las distintas actividades a ejecutar en el proceso de contratación, de conformidad con lo establecido en el parágrafo 1 del artículo 4 de esta resolución. </w:t>
      </w:r>
    </w:p>
    <w:p w14:paraId="3F9021DC" w14:textId="77777777" w:rsidR="00E17415" w:rsidRPr="00C60BCA" w:rsidRDefault="00E17415" w:rsidP="00E17415">
      <w:pPr>
        <w:spacing w:line="276" w:lineRule="auto"/>
        <w:ind w:right="-86"/>
        <w:jc w:val="both"/>
        <w:rPr>
          <w:rFonts w:ascii="Verdana" w:hAnsi="Verdana" w:cs="Arial"/>
          <w:b/>
          <w:bCs/>
          <w:color w:val="000000" w:themeColor="text1"/>
          <w:sz w:val="22"/>
          <w:szCs w:val="22"/>
        </w:rPr>
      </w:pPr>
    </w:p>
    <w:p w14:paraId="176FDC40" w14:textId="77777777"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b/>
          <w:bCs/>
          <w:color w:val="000000" w:themeColor="text1"/>
          <w:sz w:val="22"/>
          <w:szCs w:val="22"/>
        </w:rPr>
        <w:t xml:space="preserve">Parágrafo. </w:t>
      </w:r>
      <w:r w:rsidRPr="00C60BCA">
        <w:rPr>
          <w:rFonts w:ascii="Verdana" w:hAnsi="Verdana" w:cs="Arial"/>
          <w:color w:val="000000" w:themeColor="text1"/>
          <w:sz w:val="22"/>
          <w:szCs w:val="22"/>
        </w:rPr>
        <w:t>La entidad estatal justificará en el estudio previo las razones que soportan la escogencia de un determinado documento tipo.</w:t>
      </w:r>
    </w:p>
    <w:p w14:paraId="3961493C" w14:textId="77777777" w:rsidR="00E17415" w:rsidRPr="00C60BCA" w:rsidRDefault="00E17415" w:rsidP="00E17415">
      <w:pPr>
        <w:spacing w:line="276" w:lineRule="auto"/>
        <w:ind w:right="-86"/>
        <w:jc w:val="both"/>
        <w:rPr>
          <w:rFonts w:ascii="Verdana" w:hAnsi="Verdana" w:cs="Arial"/>
          <w:color w:val="000000" w:themeColor="text1"/>
          <w:sz w:val="22"/>
          <w:szCs w:val="22"/>
        </w:rPr>
      </w:pPr>
    </w:p>
    <w:p w14:paraId="64434F4C" w14:textId="77777777"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b/>
          <w:bCs/>
          <w:color w:val="000000" w:themeColor="text1"/>
          <w:sz w:val="22"/>
          <w:szCs w:val="22"/>
        </w:rPr>
        <w:t>Artículo 6. Capacidad Financiera y Organizacional.</w:t>
      </w:r>
      <w:r w:rsidRPr="00C60BCA">
        <w:rPr>
          <w:rFonts w:ascii="Verdana" w:hAnsi="Verdana" w:cs="Arial"/>
          <w:color w:val="000000" w:themeColor="text1"/>
          <w:sz w:val="22"/>
          <w:szCs w:val="22"/>
        </w:rPr>
        <w:t xml:space="preserve"> La Agencia Nacional de Contratación Pública —Colombia Compra Eficiente realizará anualmente el análisis del </w:t>
      </w:r>
      <w:r w:rsidRPr="00C60BCA">
        <w:rPr>
          <w:rFonts w:ascii="Verdana" w:hAnsi="Verdana" w:cs="Arial"/>
          <w:color w:val="000000" w:themeColor="text1"/>
          <w:sz w:val="22"/>
          <w:szCs w:val="22"/>
        </w:rPr>
        <w:lastRenderedPageBreak/>
        <w:t xml:space="preserve">sector con el fin de determinar si la capacidad financiera y organizacional cambia respecto al año inmediatamente anterior. </w:t>
      </w:r>
    </w:p>
    <w:p w14:paraId="054601E9" w14:textId="77777777" w:rsidR="00E17415" w:rsidRPr="00C60BCA" w:rsidRDefault="00E17415" w:rsidP="00E17415">
      <w:pPr>
        <w:spacing w:line="276" w:lineRule="auto"/>
        <w:ind w:right="-86"/>
        <w:jc w:val="both"/>
        <w:rPr>
          <w:rFonts w:ascii="Verdana" w:hAnsi="Verdana" w:cs="Arial"/>
          <w:b/>
          <w:bCs/>
          <w:color w:val="000000" w:themeColor="text1"/>
          <w:sz w:val="22"/>
          <w:szCs w:val="22"/>
        </w:rPr>
      </w:pPr>
    </w:p>
    <w:p w14:paraId="69C3FF50" w14:textId="77777777" w:rsidR="00E17415" w:rsidRPr="00C60BCA" w:rsidRDefault="00E17415" w:rsidP="00E17415">
      <w:pPr>
        <w:spacing w:line="276" w:lineRule="auto"/>
        <w:ind w:right="-86"/>
        <w:jc w:val="both"/>
        <w:rPr>
          <w:rFonts w:ascii="Verdana" w:hAnsi="Verdana" w:cs="Arial"/>
          <w:color w:val="000000" w:themeColor="text1"/>
          <w:sz w:val="22"/>
          <w:szCs w:val="22"/>
        </w:rPr>
      </w:pPr>
      <w:r w:rsidRPr="00C60BCA">
        <w:rPr>
          <w:rFonts w:ascii="Verdana" w:hAnsi="Verdana" w:cs="Arial"/>
          <w:b/>
          <w:bCs/>
          <w:color w:val="000000" w:themeColor="text1"/>
          <w:sz w:val="22"/>
          <w:szCs w:val="22"/>
        </w:rPr>
        <w:t xml:space="preserve">Parágrafo. </w:t>
      </w:r>
      <w:r w:rsidRPr="00C60BCA">
        <w:rPr>
          <w:rFonts w:ascii="Verdana" w:hAnsi="Verdana" w:cs="Arial"/>
          <w:color w:val="000000" w:themeColor="text1"/>
          <w:sz w:val="22"/>
          <w:szCs w:val="22"/>
        </w:rPr>
        <w:t xml:space="preserve">La capacidad financiera y organizacional que se establece en los documentos tipo adoptados mediante la presente resolución se obtuvo como resultado del análisis de información financiera de empresa identificadas del sector de infraestructura social a corte </w:t>
      </w:r>
      <w:r w:rsidRPr="00C60BCA">
        <w:rPr>
          <w:rFonts w:ascii="Verdana" w:hAnsi="Verdana" w:cs="Arial"/>
          <w:color w:val="000000" w:themeColor="text1"/>
          <w:sz w:val="22"/>
          <w:szCs w:val="22"/>
          <w:highlight w:val="yellow"/>
        </w:rPr>
        <w:t>XXX</w:t>
      </w:r>
      <w:r w:rsidRPr="00C60BCA">
        <w:rPr>
          <w:rFonts w:ascii="Verdana" w:hAnsi="Verdana" w:cs="Arial"/>
          <w:color w:val="000000" w:themeColor="text1"/>
          <w:sz w:val="22"/>
          <w:szCs w:val="22"/>
        </w:rPr>
        <w:t xml:space="preserve"> de </w:t>
      </w:r>
      <w:r w:rsidRPr="00C60BCA">
        <w:rPr>
          <w:rFonts w:ascii="Verdana" w:hAnsi="Verdana" w:cs="Arial"/>
          <w:color w:val="000000" w:themeColor="text1"/>
          <w:sz w:val="22"/>
          <w:szCs w:val="22"/>
          <w:highlight w:val="yellow"/>
        </w:rPr>
        <w:t>XXX</w:t>
      </w:r>
      <w:r w:rsidRPr="00C60BCA">
        <w:rPr>
          <w:rFonts w:ascii="Verdana" w:hAnsi="Verdana" w:cs="Arial"/>
          <w:color w:val="000000" w:themeColor="text1"/>
          <w:sz w:val="22"/>
          <w:szCs w:val="22"/>
        </w:rPr>
        <w:t xml:space="preserve"> de 202</w:t>
      </w:r>
      <w:r w:rsidRPr="00C60BCA">
        <w:rPr>
          <w:rFonts w:ascii="Verdana" w:hAnsi="Verdana" w:cs="Arial"/>
          <w:color w:val="000000" w:themeColor="text1"/>
          <w:sz w:val="22"/>
          <w:szCs w:val="22"/>
          <w:highlight w:val="yellow"/>
        </w:rPr>
        <w:t>X</w:t>
      </w:r>
    </w:p>
    <w:p w14:paraId="0E6549CD" w14:textId="77777777" w:rsidR="00E17415" w:rsidRPr="00C60BCA" w:rsidRDefault="00E17415" w:rsidP="00E17415">
      <w:pPr>
        <w:spacing w:line="276" w:lineRule="auto"/>
        <w:ind w:right="-86"/>
        <w:jc w:val="center"/>
        <w:rPr>
          <w:rFonts w:ascii="Verdana" w:hAnsi="Verdana" w:cs="Arial"/>
          <w:color w:val="000000" w:themeColor="text1"/>
          <w:sz w:val="22"/>
          <w:szCs w:val="22"/>
        </w:rPr>
      </w:pPr>
    </w:p>
    <w:p w14:paraId="565B088D" w14:textId="7797F1C7" w:rsidR="00E17415" w:rsidRPr="00C60BCA" w:rsidRDefault="00E17415" w:rsidP="00715C65">
      <w:pPr>
        <w:spacing w:line="276" w:lineRule="auto"/>
        <w:ind w:right="-86"/>
        <w:jc w:val="both"/>
        <w:rPr>
          <w:rFonts w:ascii="Verdana" w:hAnsi="Verdana" w:cs="Arial"/>
          <w:b/>
          <w:bCs/>
          <w:color w:val="000000"/>
          <w:sz w:val="22"/>
          <w:szCs w:val="22"/>
        </w:rPr>
      </w:pPr>
      <w:r w:rsidRPr="00C60BCA">
        <w:rPr>
          <w:rFonts w:ascii="Verdana" w:hAnsi="Verdana" w:cs="Arial"/>
          <w:b/>
          <w:bCs/>
          <w:color w:val="000000" w:themeColor="text1"/>
          <w:sz w:val="22"/>
          <w:szCs w:val="22"/>
        </w:rPr>
        <w:t xml:space="preserve">Artículo </w:t>
      </w:r>
      <w:r w:rsidR="00DD01E4" w:rsidRPr="00C60BCA">
        <w:rPr>
          <w:rFonts w:ascii="Verdana" w:hAnsi="Verdana" w:cs="Arial"/>
          <w:b/>
          <w:bCs/>
          <w:color w:val="000000" w:themeColor="text1"/>
          <w:sz w:val="22"/>
          <w:szCs w:val="22"/>
        </w:rPr>
        <w:t>7</w:t>
      </w:r>
      <w:r w:rsidRPr="00C60BCA">
        <w:rPr>
          <w:rFonts w:ascii="Verdana" w:hAnsi="Verdana" w:cs="Arial"/>
          <w:b/>
          <w:bCs/>
          <w:color w:val="000000" w:themeColor="text1"/>
          <w:sz w:val="22"/>
          <w:szCs w:val="22"/>
        </w:rPr>
        <w:t>. Vigencia</w:t>
      </w:r>
      <w:r w:rsidR="00120166" w:rsidRPr="00C60BCA">
        <w:rPr>
          <w:rFonts w:ascii="Verdana" w:hAnsi="Verdana" w:cs="Arial"/>
          <w:b/>
          <w:bCs/>
          <w:color w:val="000000" w:themeColor="text1"/>
          <w:sz w:val="22"/>
          <w:szCs w:val="22"/>
        </w:rPr>
        <w:t xml:space="preserve"> y derogatorias</w:t>
      </w:r>
      <w:r w:rsidRPr="00C60BCA">
        <w:rPr>
          <w:rFonts w:ascii="Verdana" w:hAnsi="Verdana" w:cs="Arial"/>
          <w:b/>
          <w:bCs/>
          <w:color w:val="000000" w:themeColor="text1"/>
          <w:sz w:val="22"/>
          <w:szCs w:val="22"/>
        </w:rPr>
        <w:t xml:space="preserve">. </w:t>
      </w:r>
      <w:r w:rsidRPr="00C60BCA">
        <w:rPr>
          <w:rFonts w:ascii="Verdana" w:hAnsi="Verdana" w:cs="Arial"/>
          <w:sz w:val="22"/>
          <w:szCs w:val="22"/>
        </w:rPr>
        <w:t>La presente resolución rige a partir de su publicación</w:t>
      </w:r>
      <w:r w:rsidR="00120166" w:rsidRPr="00C60BCA">
        <w:rPr>
          <w:rFonts w:ascii="Verdana" w:hAnsi="Verdana" w:cs="Arial"/>
          <w:sz w:val="22"/>
          <w:szCs w:val="22"/>
        </w:rPr>
        <w:t xml:space="preserve">, deroga la Resolución </w:t>
      </w:r>
      <w:r w:rsidR="001E40CB" w:rsidRPr="00C60BCA">
        <w:rPr>
          <w:rFonts w:ascii="Verdana" w:hAnsi="Verdana" w:cs="Arial"/>
          <w:sz w:val="22"/>
          <w:szCs w:val="22"/>
        </w:rPr>
        <w:t>798 del 29 de diciembre de 202</w:t>
      </w:r>
      <w:r w:rsidR="00C35B42">
        <w:rPr>
          <w:rFonts w:ascii="Verdana" w:hAnsi="Verdana" w:cs="Arial"/>
          <w:sz w:val="22"/>
          <w:szCs w:val="22"/>
        </w:rPr>
        <w:t>3</w:t>
      </w:r>
      <w:r w:rsidR="0027041F" w:rsidRPr="00C60BCA">
        <w:rPr>
          <w:rFonts w:ascii="Verdana" w:hAnsi="Verdana" w:cs="Arial"/>
          <w:sz w:val="22"/>
          <w:szCs w:val="22"/>
        </w:rPr>
        <w:t xml:space="preserve"> y sus modificaciones posteriores</w:t>
      </w:r>
      <w:r w:rsidR="001E40CB" w:rsidRPr="00C60BCA">
        <w:rPr>
          <w:rFonts w:ascii="Verdana" w:hAnsi="Verdana" w:cs="Arial"/>
          <w:sz w:val="22"/>
          <w:szCs w:val="22"/>
        </w:rPr>
        <w:t>, y aplica</w:t>
      </w:r>
      <w:r w:rsidR="00C65D8E" w:rsidRPr="00C60BCA">
        <w:rPr>
          <w:rFonts w:ascii="Verdana" w:hAnsi="Verdana" w:cs="Arial"/>
          <w:sz w:val="22"/>
          <w:szCs w:val="22"/>
        </w:rPr>
        <w:t>rá</w:t>
      </w:r>
      <w:r w:rsidR="001E40CB" w:rsidRPr="00C60BCA">
        <w:rPr>
          <w:rFonts w:ascii="Verdana" w:hAnsi="Verdana" w:cs="Arial"/>
          <w:sz w:val="22"/>
          <w:szCs w:val="22"/>
        </w:rPr>
        <w:t xml:space="preserve"> </w:t>
      </w:r>
      <w:r w:rsidR="00C65D8E" w:rsidRPr="00C60BCA">
        <w:rPr>
          <w:rFonts w:ascii="Verdana" w:hAnsi="Verdana" w:cs="Arial"/>
          <w:sz w:val="22"/>
          <w:szCs w:val="22"/>
        </w:rPr>
        <w:t xml:space="preserve">para </w:t>
      </w:r>
      <w:r w:rsidR="00110A1F" w:rsidRPr="00C60BCA">
        <w:rPr>
          <w:rFonts w:ascii="Verdana" w:hAnsi="Verdana" w:cs="Arial"/>
          <w:sz w:val="22"/>
          <w:szCs w:val="22"/>
        </w:rPr>
        <w:t xml:space="preserve">los procesos de selección de concurso de méritos para contratar la interventoría de infraestructura social </w:t>
      </w:r>
      <w:r w:rsidR="00782385">
        <w:rPr>
          <w:rFonts w:ascii="Verdana" w:hAnsi="Verdana" w:cs="Arial"/>
          <w:sz w:val="22"/>
          <w:szCs w:val="22"/>
        </w:rPr>
        <w:t>en los sectores e</w:t>
      </w:r>
      <w:r w:rsidR="005C4592">
        <w:rPr>
          <w:rFonts w:ascii="Verdana" w:hAnsi="Verdana" w:cs="Arial"/>
          <w:sz w:val="22"/>
          <w:szCs w:val="22"/>
        </w:rPr>
        <w:t>ducación</w:t>
      </w:r>
      <w:r w:rsidR="00782385">
        <w:rPr>
          <w:rFonts w:ascii="Verdana" w:hAnsi="Verdana" w:cs="Arial"/>
          <w:sz w:val="22"/>
          <w:szCs w:val="22"/>
        </w:rPr>
        <w:t xml:space="preserve">, salud, cultura, recreación y deporte, institucional y vivienda, </w:t>
      </w:r>
      <w:r w:rsidR="00110A1F" w:rsidRPr="00C60BCA">
        <w:rPr>
          <w:rFonts w:ascii="Verdana" w:hAnsi="Verdana" w:cs="Arial"/>
          <w:sz w:val="22"/>
          <w:szCs w:val="22"/>
        </w:rPr>
        <w:t xml:space="preserve">cuyo aviso de convocatoria se publique a partir del </w:t>
      </w:r>
      <w:r w:rsidR="00110A1F" w:rsidRPr="00C60BCA">
        <w:rPr>
          <w:rFonts w:ascii="Verdana" w:hAnsi="Verdana" w:cs="Arial"/>
          <w:sz w:val="22"/>
          <w:szCs w:val="22"/>
          <w:highlight w:val="yellow"/>
        </w:rPr>
        <w:t>XX</w:t>
      </w:r>
      <w:r w:rsidR="00110A1F" w:rsidRPr="00C60BCA">
        <w:rPr>
          <w:rFonts w:ascii="Verdana" w:hAnsi="Verdana" w:cs="Arial"/>
          <w:sz w:val="22"/>
          <w:szCs w:val="22"/>
        </w:rPr>
        <w:t xml:space="preserve"> de </w:t>
      </w:r>
      <w:r w:rsidR="00110A1F" w:rsidRPr="00C60BCA">
        <w:rPr>
          <w:rFonts w:ascii="Verdana" w:hAnsi="Verdana" w:cs="Arial"/>
          <w:sz w:val="22"/>
          <w:szCs w:val="22"/>
          <w:highlight w:val="yellow"/>
        </w:rPr>
        <w:t>XXX</w:t>
      </w:r>
      <w:r w:rsidR="00110A1F" w:rsidRPr="00C60BCA">
        <w:rPr>
          <w:rFonts w:ascii="Verdana" w:hAnsi="Verdana" w:cs="Arial"/>
          <w:sz w:val="22"/>
          <w:szCs w:val="22"/>
        </w:rPr>
        <w:t xml:space="preserve"> de </w:t>
      </w:r>
      <w:r w:rsidR="00110A1F" w:rsidRPr="00C60BCA">
        <w:rPr>
          <w:rFonts w:ascii="Verdana" w:hAnsi="Verdana" w:cs="Arial"/>
          <w:sz w:val="22"/>
          <w:szCs w:val="22"/>
          <w:highlight w:val="yellow"/>
        </w:rPr>
        <w:t>XXXX</w:t>
      </w:r>
    </w:p>
    <w:p w14:paraId="7D63EC46" w14:textId="77777777" w:rsidR="00E17415" w:rsidRPr="00C60BCA" w:rsidRDefault="00E17415" w:rsidP="00E17415">
      <w:pPr>
        <w:spacing w:line="276" w:lineRule="auto"/>
        <w:ind w:right="-86"/>
        <w:rPr>
          <w:rFonts w:ascii="Verdana" w:hAnsi="Verdana" w:cs="Arial"/>
          <w:color w:val="000000"/>
          <w:sz w:val="22"/>
          <w:szCs w:val="22"/>
        </w:rPr>
      </w:pPr>
    </w:p>
    <w:p w14:paraId="7D6C3E93" w14:textId="77777777" w:rsidR="00E17415" w:rsidRPr="00C60BCA" w:rsidRDefault="00E17415" w:rsidP="00E17415">
      <w:pPr>
        <w:rPr>
          <w:rFonts w:ascii="Verdana" w:hAnsi="Verdana" w:cs="Arial"/>
          <w:sz w:val="22"/>
          <w:szCs w:val="22"/>
        </w:rPr>
      </w:pPr>
      <w:r w:rsidRPr="00C60BCA">
        <w:rPr>
          <w:rFonts w:ascii="Verdana" w:hAnsi="Verdana" w:cs="Arial"/>
          <w:sz w:val="22"/>
          <w:szCs w:val="22"/>
        </w:rPr>
        <w:t>Dada en Bogotá D.C.,</w:t>
      </w:r>
    </w:p>
    <w:p w14:paraId="3CA98510" w14:textId="77777777" w:rsidR="00E17415" w:rsidRDefault="00E17415" w:rsidP="00E17415">
      <w:pPr>
        <w:pStyle w:val="Prrafodelista"/>
        <w:shd w:val="clear" w:color="auto" w:fill="FFFFFF"/>
        <w:tabs>
          <w:tab w:val="left" w:pos="1134"/>
        </w:tabs>
        <w:ind w:left="0"/>
        <w:jc w:val="both"/>
        <w:rPr>
          <w:rFonts w:ascii="Verdana" w:hAnsi="Verdana" w:cs="Arial"/>
          <w:bCs/>
          <w:sz w:val="22"/>
          <w:szCs w:val="22"/>
        </w:rPr>
      </w:pPr>
    </w:p>
    <w:p w14:paraId="36EF4699" w14:textId="77777777" w:rsidR="00CC10A8" w:rsidRPr="008869B1" w:rsidRDefault="00CC10A8" w:rsidP="00CC10A8">
      <w:pPr>
        <w:jc w:val="center"/>
        <w:rPr>
          <w:rFonts w:ascii="Verdana" w:hAnsi="Verdana" w:cs="Arial"/>
          <w:b/>
          <w:bCs/>
          <w:sz w:val="22"/>
          <w:szCs w:val="22"/>
          <w:lang w:val="es-CO"/>
        </w:rPr>
      </w:pPr>
      <w:r w:rsidRPr="008869B1">
        <w:rPr>
          <w:rFonts w:ascii="Verdana" w:hAnsi="Verdana" w:cs="Arial"/>
          <w:b/>
          <w:bCs/>
          <w:sz w:val="22"/>
          <w:szCs w:val="22"/>
          <w:lang w:val="es-CO"/>
        </w:rPr>
        <w:t>Publíquese, comuníquese y cúmplase.</w:t>
      </w:r>
    </w:p>
    <w:p w14:paraId="42F51744" w14:textId="77777777" w:rsidR="007A6C0A" w:rsidRDefault="007A6C0A" w:rsidP="00E17415">
      <w:pPr>
        <w:pStyle w:val="Prrafodelista"/>
        <w:shd w:val="clear" w:color="auto" w:fill="FFFFFF"/>
        <w:tabs>
          <w:tab w:val="left" w:pos="1134"/>
        </w:tabs>
        <w:ind w:left="0"/>
        <w:jc w:val="both"/>
        <w:rPr>
          <w:rFonts w:ascii="Verdana" w:hAnsi="Verdana" w:cs="Arial"/>
          <w:bCs/>
          <w:sz w:val="22"/>
          <w:szCs w:val="22"/>
        </w:rPr>
      </w:pPr>
    </w:p>
    <w:p w14:paraId="0E27825E" w14:textId="77777777" w:rsidR="00CC10A8" w:rsidRDefault="00CC10A8" w:rsidP="00E17415">
      <w:pPr>
        <w:pStyle w:val="Prrafodelista"/>
        <w:shd w:val="clear" w:color="auto" w:fill="FFFFFF"/>
        <w:tabs>
          <w:tab w:val="left" w:pos="1134"/>
        </w:tabs>
        <w:ind w:left="0"/>
        <w:jc w:val="both"/>
        <w:rPr>
          <w:rFonts w:ascii="Verdana" w:hAnsi="Verdana" w:cs="Arial"/>
          <w:bCs/>
          <w:sz w:val="22"/>
          <w:szCs w:val="22"/>
        </w:rPr>
      </w:pPr>
    </w:p>
    <w:p w14:paraId="6164275E" w14:textId="77777777" w:rsidR="007A6C0A" w:rsidRPr="00C60BCA" w:rsidRDefault="007A6C0A" w:rsidP="00E17415">
      <w:pPr>
        <w:pStyle w:val="Prrafodelista"/>
        <w:shd w:val="clear" w:color="auto" w:fill="FFFFFF"/>
        <w:tabs>
          <w:tab w:val="left" w:pos="1134"/>
        </w:tabs>
        <w:ind w:left="0"/>
        <w:jc w:val="both"/>
        <w:rPr>
          <w:rFonts w:ascii="Verdana" w:hAnsi="Verdana" w:cs="Arial"/>
          <w:bCs/>
          <w:sz w:val="22"/>
          <w:szCs w:val="22"/>
        </w:rPr>
      </w:pPr>
    </w:p>
    <w:p w14:paraId="40B71814" w14:textId="77777777" w:rsidR="007A6C0A" w:rsidRPr="008869B1" w:rsidRDefault="007A6C0A" w:rsidP="007A6C0A">
      <w:pPr>
        <w:spacing w:line="264" w:lineRule="auto"/>
        <w:jc w:val="center"/>
        <w:rPr>
          <w:rFonts w:ascii="Verdana" w:hAnsi="Verdana" w:cs="Arial"/>
          <w:b/>
          <w:bCs/>
          <w:sz w:val="22"/>
          <w:szCs w:val="22"/>
          <w:lang w:val="es-CO"/>
        </w:rPr>
      </w:pPr>
      <w:r>
        <w:rPr>
          <w:rFonts w:ascii="Verdana" w:hAnsi="Verdana" w:cs="Arial"/>
          <w:b/>
          <w:bCs/>
          <w:sz w:val="22"/>
          <w:szCs w:val="22"/>
          <w:lang w:val="es-CO"/>
        </w:rPr>
        <w:t>CRISTÓBAL PADILLA TEJADA</w:t>
      </w:r>
    </w:p>
    <w:p w14:paraId="4B237EE6" w14:textId="77777777" w:rsidR="007A6C0A" w:rsidRPr="008869B1" w:rsidRDefault="007A6C0A" w:rsidP="007A6C0A">
      <w:pPr>
        <w:spacing w:line="264" w:lineRule="auto"/>
        <w:jc w:val="center"/>
        <w:rPr>
          <w:rFonts w:ascii="Verdana" w:hAnsi="Verdana" w:cs="Arial"/>
          <w:sz w:val="22"/>
          <w:szCs w:val="22"/>
        </w:rPr>
      </w:pPr>
      <w:r w:rsidRPr="008869B1">
        <w:rPr>
          <w:rFonts w:ascii="Verdana" w:hAnsi="Verdana" w:cs="Arial"/>
          <w:sz w:val="22"/>
          <w:szCs w:val="22"/>
        </w:rPr>
        <w:t xml:space="preserve">Director General </w:t>
      </w:r>
    </w:p>
    <w:p w14:paraId="2BC809E8" w14:textId="77777777" w:rsidR="007A6C0A" w:rsidRPr="008869B1" w:rsidRDefault="007A6C0A" w:rsidP="007A6C0A">
      <w:pPr>
        <w:spacing w:line="259" w:lineRule="auto"/>
        <w:rPr>
          <w:rFonts w:ascii="Verdana" w:eastAsia="Century Gothic" w:hAnsi="Verdana" w:cs="Century Gothic"/>
          <w:color w:val="002060"/>
          <w:sz w:val="22"/>
          <w:szCs w:val="22"/>
        </w:rPr>
      </w:pPr>
    </w:p>
    <w:tbl>
      <w:tblPr>
        <w:tblStyle w:val="Tablaconcuadrcula"/>
        <w:tblW w:w="5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
        <w:gridCol w:w="4810"/>
      </w:tblGrid>
      <w:tr w:rsidR="007A6C0A" w:rsidRPr="00896002" w14:paraId="4E219CBC" w14:textId="77777777">
        <w:trPr>
          <w:trHeight w:val="367"/>
        </w:trPr>
        <w:tc>
          <w:tcPr>
            <w:tcW w:w="1013" w:type="dxa"/>
            <w:vAlign w:val="center"/>
            <w:hideMark/>
          </w:tcPr>
          <w:p w14:paraId="3430E6A5" w14:textId="77777777" w:rsidR="007A6C0A" w:rsidRPr="00896002" w:rsidRDefault="007A6C0A">
            <w:pPr>
              <w:rPr>
                <w:rFonts w:ascii="Verdana" w:eastAsia="Calibri" w:hAnsi="Verdana" w:cs="Arial"/>
                <w:sz w:val="16"/>
                <w:szCs w:val="16"/>
              </w:rPr>
            </w:pPr>
            <w:r w:rsidRPr="00896002">
              <w:rPr>
                <w:rFonts w:ascii="Verdana" w:eastAsia="Calibri" w:hAnsi="Verdana" w:cs="Arial"/>
                <w:sz w:val="16"/>
                <w:szCs w:val="16"/>
              </w:rPr>
              <w:t>Elaboró:</w:t>
            </w:r>
          </w:p>
        </w:tc>
        <w:tc>
          <w:tcPr>
            <w:tcW w:w="4810" w:type="dxa"/>
            <w:tcBorders>
              <w:top w:val="nil"/>
              <w:left w:val="nil"/>
              <w:bottom w:val="dotted" w:sz="4" w:space="0" w:color="7F7F7F"/>
              <w:right w:val="nil"/>
            </w:tcBorders>
            <w:vAlign w:val="center"/>
            <w:hideMark/>
          </w:tcPr>
          <w:p w14:paraId="530D07DB" w14:textId="77777777" w:rsidR="007A6C0A" w:rsidRPr="00896002" w:rsidRDefault="007A6C0A">
            <w:pPr>
              <w:rPr>
                <w:rFonts w:ascii="Verdana" w:eastAsia="Arial" w:hAnsi="Verdana" w:cs="Arial"/>
                <w:sz w:val="16"/>
                <w:szCs w:val="16"/>
              </w:rPr>
            </w:pPr>
            <w:r>
              <w:rPr>
                <w:rFonts w:ascii="Verdana" w:eastAsia="Arial" w:hAnsi="Verdana" w:cs="Arial"/>
                <w:sz w:val="16"/>
                <w:szCs w:val="16"/>
              </w:rPr>
              <w:t xml:space="preserve">Carlos Mario </w:t>
            </w:r>
            <w:proofErr w:type="spellStart"/>
            <w:r>
              <w:rPr>
                <w:rFonts w:ascii="Verdana" w:eastAsia="Arial" w:hAnsi="Verdana" w:cs="Arial"/>
                <w:sz w:val="16"/>
                <w:szCs w:val="16"/>
              </w:rPr>
              <w:t>Castrillon</w:t>
            </w:r>
            <w:proofErr w:type="spellEnd"/>
            <w:r>
              <w:rPr>
                <w:rFonts w:ascii="Verdana" w:eastAsia="Arial" w:hAnsi="Verdana" w:cs="Arial"/>
                <w:sz w:val="16"/>
                <w:szCs w:val="16"/>
              </w:rPr>
              <w:t xml:space="preserve"> Endo</w:t>
            </w:r>
          </w:p>
          <w:p w14:paraId="35F33413" w14:textId="77777777" w:rsidR="007A6C0A" w:rsidRPr="00896002" w:rsidRDefault="007A6C0A">
            <w:pPr>
              <w:rPr>
                <w:rFonts w:ascii="Verdana" w:eastAsia="Arial" w:hAnsi="Verdana" w:cs="Arial"/>
                <w:sz w:val="16"/>
                <w:szCs w:val="16"/>
              </w:rPr>
            </w:pPr>
            <w:r w:rsidRPr="00896002">
              <w:rPr>
                <w:rFonts w:ascii="Verdana" w:eastAsia="Arial" w:hAnsi="Verdana" w:cs="Arial"/>
                <w:sz w:val="16"/>
                <w:szCs w:val="16"/>
              </w:rPr>
              <w:t>Contratista de la Subdirección de Gestión Contractual</w:t>
            </w:r>
          </w:p>
        </w:tc>
      </w:tr>
      <w:tr w:rsidR="007A6C0A" w:rsidRPr="00896002" w14:paraId="4A137D5C" w14:textId="77777777">
        <w:trPr>
          <w:trHeight w:val="384"/>
        </w:trPr>
        <w:tc>
          <w:tcPr>
            <w:tcW w:w="1013" w:type="dxa"/>
            <w:vAlign w:val="center"/>
            <w:hideMark/>
          </w:tcPr>
          <w:p w14:paraId="7A86BE59" w14:textId="77777777" w:rsidR="007A6C0A" w:rsidRPr="00896002" w:rsidRDefault="007A6C0A">
            <w:pPr>
              <w:rPr>
                <w:rFonts w:ascii="Verdana" w:eastAsia="Calibri" w:hAnsi="Verdana" w:cs="Arial"/>
                <w:sz w:val="16"/>
                <w:szCs w:val="16"/>
              </w:rPr>
            </w:pPr>
            <w:r w:rsidRPr="00896002">
              <w:rPr>
                <w:rFonts w:ascii="Verdana" w:eastAsia="Calibri" w:hAnsi="Verdana" w:cs="Arial"/>
                <w:sz w:val="16"/>
                <w:szCs w:val="16"/>
              </w:rPr>
              <w:t>Revisó:</w:t>
            </w:r>
          </w:p>
        </w:tc>
        <w:tc>
          <w:tcPr>
            <w:tcW w:w="4810" w:type="dxa"/>
            <w:tcBorders>
              <w:top w:val="dotted" w:sz="4" w:space="0" w:color="7F7F7F"/>
              <w:left w:val="nil"/>
              <w:bottom w:val="dotted" w:sz="4" w:space="0" w:color="7F7F7F"/>
              <w:right w:val="nil"/>
            </w:tcBorders>
            <w:vAlign w:val="center"/>
            <w:hideMark/>
          </w:tcPr>
          <w:p w14:paraId="1E41454F" w14:textId="77777777" w:rsidR="007A6C0A" w:rsidRDefault="007A6C0A">
            <w:pPr>
              <w:textAlignment w:val="baseline"/>
              <w:rPr>
                <w:rFonts w:ascii="Verdana" w:hAnsi="Verdana" w:cs="Segoe UI"/>
                <w:sz w:val="16"/>
                <w:szCs w:val="16"/>
                <w:lang w:eastAsia="es-ES_tradnl"/>
              </w:rPr>
            </w:pPr>
            <w:r w:rsidRPr="00CF175C">
              <w:rPr>
                <w:rFonts w:ascii="Verdana" w:hAnsi="Verdana" w:cs="Segoe UI"/>
                <w:sz w:val="16"/>
                <w:szCs w:val="16"/>
                <w:lang w:eastAsia="es-ES_tradnl"/>
              </w:rPr>
              <w:t xml:space="preserve">Adriana </w:t>
            </w:r>
            <w:proofErr w:type="spellStart"/>
            <w:r w:rsidRPr="00CF175C">
              <w:rPr>
                <w:rFonts w:ascii="Verdana" w:hAnsi="Verdana" w:cs="Segoe UI"/>
                <w:sz w:val="16"/>
                <w:szCs w:val="16"/>
                <w:lang w:eastAsia="es-ES_tradnl"/>
              </w:rPr>
              <w:t>Katerine</w:t>
            </w:r>
            <w:proofErr w:type="spellEnd"/>
            <w:r w:rsidRPr="00CF175C">
              <w:rPr>
                <w:rFonts w:ascii="Verdana" w:hAnsi="Verdana" w:cs="Segoe UI"/>
                <w:sz w:val="16"/>
                <w:szCs w:val="16"/>
                <w:lang w:eastAsia="es-ES_tradnl"/>
              </w:rPr>
              <w:t xml:space="preserve"> López Rodríguez</w:t>
            </w:r>
          </w:p>
          <w:p w14:paraId="490CAD9B" w14:textId="77777777" w:rsidR="007A6C0A" w:rsidRPr="004701FE" w:rsidRDefault="007A6C0A">
            <w:pPr>
              <w:textAlignment w:val="baseline"/>
              <w:rPr>
                <w:rFonts w:ascii="Verdana" w:eastAsia="Arial" w:hAnsi="Verdana" w:cs="Arial"/>
                <w:sz w:val="16"/>
                <w:szCs w:val="16"/>
              </w:rPr>
            </w:pPr>
            <w:r w:rsidRPr="00A51459">
              <w:rPr>
                <w:rFonts w:ascii="Verdana" w:eastAsia="Arial" w:hAnsi="Verdana" w:cs="Arial"/>
                <w:sz w:val="16"/>
                <w:szCs w:val="16"/>
              </w:rPr>
              <w:t>Contratista de la Subdirección de Gestión Contractual</w:t>
            </w:r>
          </w:p>
          <w:p w14:paraId="066CFF36" w14:textId="77777777" w:rsidR="007A6C0A" w:rsidRDefault="007A6C0A">
            <w:pPr>
              <w:textAlignment w:val="baseline"/>
              <w:rPr>
                <w:rFonts w:ascii="Verdana" w:hAnsi="Verdana" w:cs="Segoe UI"/>
                <w:sz w:val="16"/>
                <w:szCs w:val="16"/>
                <w:lang w:eastAsia="es-ES_tradnl"/>
              </w:rPr>
            </w:pPr>
            <w:r>
              <w:rPr>
                <w:rFonts w:ascii="Verdana" w:hAnsi="Verdana" w:cs="Segoe UI"/>
                <w:sz w:val="16"/>
                <w:szCs w:val="16"/>
                <w:lang w:eastAsia="es-ES_tradnl"/>
              </w:rPr>
              <w:t>Martha Alicia Romero Vargas</w:t>
            </w:r>
          </w:p>
          <w:p w14:paraId="1E875D50" w14:textId="77777777" w:rsidR="007A6C0A" w:rsidRPr="00896002" w:rsidRDefault="007A6C0A">
            <w:pPr>
              <w:textAlignment w:val="baseline"/>
              <w:rPr>
                <w:rFonts w:ascii="Verdana" w:hAnsi="Verdana" w:cs="Segoe UI"/>
                <w:sz w:val="16"/>
                <w:szCs w:val="16"/>
                <w:lang w:eastAsia="es-ES_tradnl"/>
              </w:rPr>
            </w:pPr>
            <w:r>
              <w:rPr>
                <w:rFonts w:ascii="Verdana" w:hAnsi="Verdana" w:cs="Segoe UI"/>
                <w:sz w:val="16"/>
                <w:szCs w:val="16"/>
                <w:lang w:eastAsia="es-ES_tradnl"/>
              </w:rPr>
              <w:t>Gestor T1-15 de la Subdirección de Gestión Contractual</w:t>
            </w:r>
          </w:p>
        </w:tc>
      </w:tr>
      <w:tr w:rsidR="007A6C0A" w:rsidRPr="00896002" w14:paraId="286BF62F" w14:textId="77777777">
        <w:trPr>
          <w:trHeight w:val="350"/>
        </w:trPr>
        <w:tc>
          <w:tcPr>
            <w:tcW w:w="1013" w:type="dxa"/>
            <w:vAlign w:val="center"/>
          </w:tcPr>
          <w:p w14:paraId="68BD0E35" w14:textId="77777777" w:rsidR="007A6C0A" w:rsidRPr="00896002" w:rsidRDefault="007A6C0A">
            <w:pPr>
              <w:rPr>
                <w:rFonts w:ascii="Verdana" w:eastAsia="Calibri" w:hAnsi="Verdana" w:cs="Arial"/>
                <w:sz w:val="16"/>
                <w:szCs w:val="16"/>
              </w:rPr>
            </w:pPr>
            <w:r w:rsidRPr="00896002">
              <w:rPr>
                <w:rFonts w:ascii="Verdana" w:eastAsia="Calibri" w:hAnsi="Verdana" w:cs="Arial"/>
                <w:sz w:val="16"/>
                <w:szCs w:val="16"/>
              </w:rPr>
              <w:t>Aprobó:</w:t>
            </w:r>
          </w:p>
        </w:tc>
        <w:tc>
          <w:tcPr>
            <w:tcW w:w="4810" w:type="dxa"/>
            <w:tcBorders>
              <w:top w:val="dotted" w:sz="4" w:space="0" w:color="7F7F7F"/>
              <w:left w:val="nil"/>
              <w:bottom w:val="dotted" w:sz="4" w:space="0" w:color="7F7F7F"/>
              <w:right w:val="nil"/>
            </w:tcBorders>
            <w:vAlign w:val="center"/>
          </w:tcPr>
          <w:p w14:paraId="37D6F4A6" w14:textId="77777777" w:rsidR="007A6C0A" w:rsidRPr="00896002" w:rsidRDefault="007A6C0A">
            <w:pPr>
              <w:rPr>
                <w:rFonts w:ascii="Verdana" w:eastAsia="Calibri" w:hAnsi="Verdana" w:cs="Arial"/>
                <w:sz w:val="16"/>
                <w:szCs w:val="16"/>
                <w:lang w:val="pt-BR"/>
              </w:rPr>
            </w:pPr>
            <w:r w:rsidRPr="00896002">
              <w:rPr>
                <w:rFonts w:ascii="Verdana" w:eastAsia="Calibri" w:hAnsi="Verdana" w:cs="Arial"/>
                <w:sz w:val="16"/>
                <w:szCs w:val="16"/>
                <w:lang w:val="pt-BR"/>
              </w:rPr>
              <w:t xml:space="preserve">Carolina Quintero </w:t>
            </w:r>
            <w:proofErr w:type="spellStart"/>
            <w:r w:rsidRPr="00896002">
              <w:rPr>
                <w:rFonts w:ascii="Verdana" w:eastAsia="Calibri" w:hAnsi="Verdana" w:cs="Arial"/>
                <w:sz w:val="16"/>
                <w:szCs w:val="16"/>
                <w:lang w:val="pt-BR"/>
              </w:rPr>
              <w:t>Gacharná</w:t>
            </w:r>
            <w:proofErr w:type="spellEnd"/>
          </w:p>
          <w:p w14:paraId="4C7465A3" w14:textId="77777777" w:rsidR="007A6C0A" w:rsidRPr="00896002" w:rsidRDefault="007A6C0A">
            <w:pPr>
              <w:rPr>
                <w:rFonts w:ascii="Verdana" w:eastAsia="Calibri" w:hAnsi="Verdana" w:cs="Arial"/>
                <w:sz w:val="16"/>
                <w:szCs w:val="16"/>
                <w:lang w:val="pt-BR"/>
              </w:rPr>
            </w:pPr>
            <w:r w:rsidRPr="00896002">
              <w:rPr>
                <w:rFonts w:ascii="Verdana" w:eastAsia="Calibri" w:hAnsi="Verdana" w:cs="Arial"/>
                <w:sz w:val="16"/>
                <w:szCs w:val="16"/>
              </w:rPr>
              <w:t>Subdirectora</w:t>
            </w:r>
            <w:r w:rsidRPr="00896002">
              <w:rPr>
                <w:rFonts w:ascii="Verdana" w:eastAsia="Calibri" w:hAnsi="Verdana" w:cs="Arial"/>
                <w:sz w:val="16"/>
                <w:szCs w:val="16"/>
                <w:lang w:val="pt-BR"/>
              </w:rPr>
              <w:t xml:space="preserve"> de </w:t>
            </w:r>
            <w:proofErr w:type="spellStart"/>
            <w:r w:rsidRPr="00896002">
              <w:rPr>
                <w:rFonts w:ascii="Verdana" w:eastAsia="Calibri" w:hAnsi="Verdana" w:cs="Arial"/>
                <w:sz w:val="16"/>
                <w:szCs w:val="16"/>
                <w:lang w:val="pt-BR"/>
              </w:rPr>
              <w:t>Gestión</w:t>
            </w:r>
            <w:proofErr w:type="spellEnd"/>
            <w:r w:rsidRPr="00896002">
              <w:rPr>
                <w:rFonts w:ascii="Verdana" w:eastAsia="Calibri" w:hAnsi="Verdana" w:cs="Arial"/>
                <w:sz w:val="16"/>
                <w:szCs w:val="16"/>
                <w:lang w:val="pt-BR"/>
              </w:rPr>
              <w:t xml:space="preserve"> </w:t>
            </w:r>
            <w:proofErr w:type="spellStart"/>
            <w:r w:rsidRPr="00896002">
              <w:rPr>
                <w:rFonts w:ascii="Verdana" w:eastAsia="Calibri" w:hAnsi="Verdana" w:cs="Arial"/>
                <w:sz w:val="16"/>
                <w:szCs w:val="16"/>
                <w:lang w:val="pt-BR"/>
              </w:rPr>
              <w:t>Contractual</w:t>
            </w:r>
            <w:proofErr w:type="spellEnd"/>
            <w:r w:rsidRPr="00896002">
              <w:rPr>
                <w:rFonts w:ascii="Verdana" w:eastAsia="Calibri" w:hAnsi="Verdana" w:cs="Arial"/>
                <w:sz w:val="16"/>
                <w:szCs w:val="16"/>
                <w:lang w:val="pt-BR"/>
              </w:rPr>
              <w:t xml:space="preserve"> ANCP – CCE</w:t>
            </w:r>
          </w:p>
        </w:tc>
      </w:tr>
    </w:tbl>
    <w:p w14:paraId="50D025FD" w14:textId="77777777" w:rsidR="007A6C0A" w:rsidRPr="008869B1" w:rsidRDefault="007A6C0A" w:rsidP="007A6C0A">
      <w:pPr>
        <w:rPr>
          <w:rFonts w:ascii="Verdana" w:hAnsi="Verdana"/>
          <w:sz w:val="22"/>
          <w:szCs w:val="22"/>
        </w:rPr>
      </w:pPr>
    </w:p>
    <w:bookmarkEnd w:id="0"/>
    <w:p w14:paraId="0A9DDD0C" w14:textId="77777777" w:rsidR="00E17415" w:rsidRPr="00C60BCA" w:rsidRDefault="00E17415" w:rsidP="00E17415">
      <w:pPr>
        <w:spacing w:line="259" w:lineRule="auto"/>
        <w:rPr>
          <w:rFonts w:ascii="Verdana" w:eastAsia="Century Gothic" w:hAnsi="Verdana" w:cs="Century Gothic"/>
          <w:color w:val="002060"/>
          <w:sz w:val="22"/>
          <w:szCs w:val="22"/>
        </w:rPr>
      </w:pPr>
    </w:p>
    <w:p w14:paraId="6535C1CA" w14:textId="77777777" w:rsidR="00E17415" w:rsidRPr="00C60BCA" w:rsidRDefault="00E17415" w:rsidP="00E17415">
      <w:pPr>
        <w:spacing w:line="264" w:lineRule="auto"/>
        <w:rPr>
          <w:rFonts w:ascii="Verdana" w:hAnsi="Verdana" w:cs="Arial"/>
          <w:sz w:val="22"/>
          <w:szCs w:val="22"/>
        </w:rPr>
      </w:pPr>
    </w:p>
    <w:p w14:paraId="5A585792" w14:textId="77777777" w:rsidR="00E17415" w:rsidRPr="00C60BCA" w:rsidRDefault="00E17415" w:rsidP="00E17415">
      <w:pPr>
        <w:rPr>
          <w:rFonts w:ascii="Verdana" w:hAnsi="Verdana"/>
          <w:sz w:val="22"/>
          <w:szCs w:val="22"/>
        </w:rPr>
      </w:pPr>
    </w:p>
    <w:p w14:paraId="0A24592E" w14:textId="77777777" w:rsidR="00E17415" w:rsidRPr="00C60BCA" w:rsidRDefault="00E17415" w:rsidP="00E17415">
      <w:pPr>
        <w:rPr>
          <w:rFonts w:ascii="Verdana" w:hAnsi="Verdana"/>
          <w:sz w:val="22"/>
          <w:szCs w:val="22"/>
        </w:rPr>
      </w:pPr>
    </w:p>
    <w:p w14:paraId="29B5E8E1" w14:textId="77777777" w:rsidR="0014092A" w:rsidRPr="00C60BCA" w:rsidRDefault="0014092A">
      <w:pPr>
        <w:rPr>
          <w:rFonts w:ascii="Verdana" w:hAnsi="Verdana"/>
          <w:sz w:val="22"/>
          <w:szCs w:val="22"/>
        </w:rPr>
      </w:pPr>
    </w:p>
    <w:sectPr w:rsidR="0014092A" w:rsidRPr="00C60BCA" w:rsidSect="00C60BCA">
      <w:headerReference w:type="even" r:id="rId11"/>
      <w:headerReference w:type="default" r:id="rId12"/>
      <w:footerReference w:type="even" r:id="rId13"/>
      <w:headerReference w:type="first" r:id="rId14"/>
      <w:pgSz w:w="12240" w:h="20160" w:code="5"/>
      <w:pgMar w:top="2591" w:right="1588" w:bottom="1134" w:left="1134" w:header="720" w:footer="851"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168A6" w14:textId="77777777" w:rsidR="0033794F" w:rsidRDefault="0033794F" w:rsidP="008F7E91">
      <w:r>
        <w:separator/>
      </w:r>
    </w:p>
  </w:endnote>
  <w:endnote w:type="continuationSeparator" w:id="0">
    <w:p w14:paraId="0839D57F" w14:textId="77777777" w:rsidR="0033794F" w:rsidRDefault="0033794F" w:rsidP="008F7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E755" w14:textId="77777777" w:rsidR="005B5CF1" w:rsidRDefault="005B5CF1">
    <w:pPr>
      <w:pStyle w:val="Piedepgina"/>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FD7E8" w14:textId="77777777" w:rsidR="0033794F" w:rsidRDefault="0033794F" w:rsidP="008F7E91">
      <w:r>
        <w:separator/>
      </w:r>
    </w:p>
  </w:footnote>
  <w:footnote w:type="continuationSeparator" w:id="0">
    <w:p w14:paraId="69FDC5CC" w14:textId="77777777" w:rsidR="0033794F" w:rsidRDefault="0033794F" w:rsidP="008F7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4A0DE" w14:textId="55BEC1B2" w:rsidR="005B5CF1" w:rsidRPr="00FC0FD1" w:rsidRDefault="00E17415">
    <w:pPr>
      <w:pStyle w:val="Encabezado"/>
      <w:tabs>
        <w:tab w:val="clear" w:pos="4320"/>
        <w:tab w:val="clear" w:pos="8640"/>
        <w:tab w:val="center" w:pos="5220"/>
      </w:tabs>
      <w:spacing w:before="272"/>
      <w:rPr>
        <w:b/>
        <w:bCs/>
        <w:lang w:val="es-CO"/>
      </w:rPr>
    </w:pPr>
    <w:r>
      <w:rPr>
        <w:noProof/>
      </w:rPr>
      <mc:AlternateContent>
        <mc:Choice Requires="wps">
          <w:drawing>
            <wp:anchor distT="0" distB="0" distL="114300" distR="114300" simplePos="0" relativeHeight="251658241" behindDoc="1" locked="0" layoutInCell="0" allowOverlap="1" wp14:anchorId="61923230" wp14:editId="69434BC5">
              <wp:simplePos x="0" y="0"/>
              <wp:positionH relativeFrom="margin">
                <wp:align>center</wp:align>
              </wp:positionH>
              <wp:positionV relativeFrom="margin">
                <wp:align>center</wp:align>
              </wp:positionV>
              <wp:extent cx="6931660" cy="1386205"/>
              <wp:effectExtent l="0" t="0" r="0" b="0"/>
              <wp:wrapNone/>
              <wp:docPr id="1133405249" name="Cuadro de text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rot="18900000">
                        <a:off x="0" y="0"/>
                        <a:ext cx="6931660" cy="1386205"/>
                      </a:xfrm>
                      <a:prstGeom prst="rect">
                        <a:avLst/>
                      </a:prstGeom>
                    </wps:spPr>
                    <wps:txbx>
                      <w:txbxContent>
                        <w:p w14:paraId="45A32039" w14:textId="77777777" w:rsidR="005B5CF1" w:rsidRDefault="00F85EB7">
                          <w:pPr>
                            <w:jc w:val="center"/>
                            <w:rPr>
                              <w:rFonts w:cs="Arial"/>
                              <w:color w:val="C0C0C0"/>
                              <w:sz w:val="16"/>
                              <w:szCs w:val="16"/>
                              <w:lang w:val="es-MX"/>
                            </w:rPr>
                          </w:pPr>
                          <w:r>
                            <w:rPr>
                              <w:rFonts w:cs="Arial"/>
                              <w:color w:val="C0C0C0"/>
                              <w:sz w:val="16"/>
                              <w:szCs w:val="16"/>
                              <w:lang w:val="es-MX"/>
                            </w:rPr>
                            <w:t>BORRADOR</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shapetype w14:anchorId="61923230" id="_x0000_t202" coordsize="21600,21600" o:spt="202" path="m,l,21600r21600,l21600,xe">
              <v:stroke joinstyle="miter"/>
              <v:path gradientshapeok="t" o:connecttype="rect"/>
            </v:shapetype>
            <v:shape id="Cuadro de texto 1" o:spid="_x0000_s1026" type="#_x0000_t202" style="position:absolute;left:0;text-align:left;margin-left:0;margin-top:0;width:545.8pt;height:109.1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" o:allowincell="f" filled="f" stroked="f">
              <o:lock v:ext="edit" aspectratio="t" verticies="t" shapetype="t"/>
              <v:textbox>
                <w:txbxContent>
                  <w:p w14:paraId="45A32039" w14:textId="77777777" w:rsidR="005B5CF1" w:rsidRDefault="00F85EB7" w:rsidP="004908BD">
                    <w:pPr>
                      <w:jc w:val="center"/>
                      <w:rPr>
                        <w:rFonts w:cs="Arial"/>
                        <w:color w:val="C0C0C0"/>
                        <w:sz w:val="16"/>
                        <w:szCs w:val="16"/>
                        <w:lang w:val="es-MX"/>
                      </w:rPr>
                    </w:pPr>
                    <w:r>
                      <w:rPr>
                        <w:rFonts w:cs="Arial"/>
                        <w:color w:val="C0C0C0"/>
                        <w:sz w:val="16"/>
                        <w:szCs w:val="16"/>
                        <w:lang w:val="es-MX"/>
                      </w:rPr>
                      <w:t>BORRADOR</w:t>
                    </w:r>
                  </w:p>
                </w:txbxContent>
              </v:textbox>
              <w10:wrap anchorx="margin" anchory="margin"/>
            </v:shape>
          </w:pict>
        </mc:Fallback>
      </mc:AlternateContent>
    </w:r>
    <w:r w:rsidRPr="4CE44823">
      <w:rPr>
        <w:b/>
        <w:bCs/>
        <w:lang w:val="pt-BR"/>
      </w:rPr>
      <w:t xml:space="preserve">DECRETO </w:t>
    </w:r>
    <w:proofErr w:type="gramStart"/>
    <w:r w:rsidRPr="4CE44823">
      <w:rPr>
        <w:b/>
        <w:bCs/>
        <w:lang w:val="pt-BR"/>
      </w:rPr>
      <w:t>NUMERO</w:t>
    </w:r>
    <w:proofErr w:type="gramEnd"/>
    <w:r w:rsidRPr="4CE44823">
      <w:rPr>
        <w:b/>
        <w:bCs/>
        <w:lang w:val="pt-BR"/>
      </w:rPr>
      <w:t xml:space="preserve"> _________________   de 2002    </w:t>
    </w:r>
    <w:proofErr w:type="spellStart"/>
    <w:r w:rsidRPr="4CE44823">
      <w:rPr>
        <w:b/>
        <w:bCs/>
        <w:lang w:val="pt-BR"/>
      </w:rPr>
      <w:t>Hoja</w:t>
    </w:r>
    <w:proofErr w:type="spellEnd"/>
    <w:r w:rsidRPr="4CE44823">
      <w:rPr>
        <w:b/>
        <w:bCs/>
        <w:lang w:val="pt-BR"/>
      </w:rPr>
      <w:t xml:space="preserve"> N°. </w:t>
    </w:r>
    <w:r w:rsidRPr="4CE44823">
      <w:rPr>
        <w:rStyle w:val="Nmerodepgina"/>
        <w:rFonts w:eastAsiaTheme="majorEastAsia"/>
        <w:b/>
        <w:bCs/>
        <w:noProof/>
        <w:lang w:val="es-CO"/>
      </w:rPr>
      <w:fldChar w:fldCharType="begin"/>
    </w:r>
    <w:r w:rsidRPr="4CE44823">
      <w:rPr>
        <w:rStyle w:val="Nmerodepgina"/>
        <w:rFonts w:eastAsiaTheme="majorEastAsia"/>
        <w:b/>
        <w:bCs/>
        <w:lang w:val="pt-BR"/>
      </w:rPr>
      <w:instrText xml:space="preserve"> PAGE </w:instrText>
    </w:r>
    <w:r w:rsidRPr="4CE44823">
      <w:rPr>
        <w:rStyle w:val="Nmerodepgina"/>
        <w:rFonts w:eastAsiaTheme="majorEastAsia"/>
        <w:b/>
        <w:bCs/>
      </w:rPr>
      <w:fldChar w:fldCharType="separate"/>
    </w:r>
    <w:r w:rsidRPr="4CE44823">
      <w:rPr>
        <w:rStyle w:val="Nmerodepgina"/>
        <w:rFonts w:eastAsiaTheme="majorEastAsia"/>
        <w:b/>
        <w:bCs/>
        <w:noProof/>
        <w:lang w:val="es-CO"/>
      </w:rPr>
      <w:t>4</w:t>
    </w:r>
    <w:r w:rsidRPr="4CE44823">
      <w:rPr>
        <w:rStyle w:val="Nmerodepgina"/>
        <w:rFonts w:eastAsiaTheme="majorEastAsia"/>
        <w:b/>
        <w:bCs/>
        <w:noProof/>
        <w:lang w:val="es-CO"/>
      </w:rPr>
      <w:fldChar w:fldCharType="end"/>
    </w:r>
  </w:p>
  <w:p w14:paraId="21BC1222" w14:textId="77777777" w:rsidR="005B5CF1" w:rsidRPr="00FC0FD1" w:rsidRDefault="00F85EB7">
    <w:pPr>
      <w:pStyle w:val="Encabezado"/>
      <w:rPr>
        <w:lang w:val="es-CO"/>
      </w:rPr>
    </w:pPr>
    <w:r>
      <w:rPr>
        <w:noProof/>
        <w:lang w:val="en-US" w:eastAsia="en-US"/>
      </w:rPr>
      <mc:AlternateContent>
        <mc:Choice Requires="wps">
          <w:drawing>
            <wp:anchor distT="0" distB="0" distL="114300" distR="114300" simplePos="0" relativeHeight="251658243" behindDoc="0" locked="0" layoutInCell="0" allowOverlap="1" wp14:anchorId="2D774325" wp14:editId="5357AA86">
              <wp:simplePos x="0" y="0"/>
              <wp:positionH relativeFrom="page">
                <wp:posOffset>440055</wp:posOffset>
              </wp:positionH>
              <wp:positionV relativeFrom="page">
                <wp:posOffset>891540</wp:posOffset>
              </wp:positionV>
              <wp:extent cx="6872605" cy="10634345"/>
              <wp:effectExtent l="20955" t="15240" r="21590" b="18415"/>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xmlns:w16sdtfl="http://schemas.microsoft.com/office/word/2024/wordml/sdtformatlock" xmlns:w16du="http://schemas.microsoft.com/office/word/2023/wordml/word16du" xmlns:oel="http://schemas.microsoft.com/office/2019/extlst">
          <w:pict w14:anchorId="2CB2E332">
            <v:rect id="Rectangle 4" style="position:absolute;margin-left:34.65pt;margin-top:70.2pt;width:541.15pt;height:837.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weight="2pt" w14:anchorId="4A752A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">
              <o:lock v:ext="edit" aspectratio="t"/>
              <w10:wrap anchorx="page" anchory="page"/>
            </v:rect>
          </w:pict>
        </mc:Fallback>
      </mc:AlternateContent>
    </w:r>
  </w:p>
  <w:p w14:paraId="47105FA5" w14:textId="77777777" w:rsidR="005B5CF1" w:rsidRPr="00FC0FD1" w:rsidRDefault="005B5CF1">
    <w:pPr>
      <w:jc w:val="center"/>
      <w:rPr>
        <w:b/>
        <w:bCs/>
        <w:lang w:val="es-CO"/>
      </w:rPr>
    </w:pPr>
  </w:p>
  <w:p w14:paraId="5A3206BF" w14:textId="77777777" w:rsidR="005B5CF1" w:rsidRDefault="00F85EB7">
    <w:pPr>
      <w:jc w:val="center"/>
      <w:rPr>
        <w:sz w:val="22"/>
      </w:rPr>
    </w:pPr>
    <w:r>
      <w:rPr>
        <w:noProof/>
        <w:color w:val="000000"/>
        <w:lang w:val="en-US" w:eastAsia="en-US"/>
      </w:rPr>
      <mc:AlternateContent>
        <mc:Choice Requires="wps">
          <w:drawing>
            <wp:anchor distT="0" distB="0" distL="114300" distR="114300" simplePos="0" relativeHeight="251658245" behindDoc="0" locked="0" layoutInCell="0" allowOverlap="1" wp14:anchorId="6535A67A" wp14:editId="56408151">
              <wp:simplePos x="0" y="0"/>
              <wp:positionH relativeFrom="column">
                <wp:posOffset>188595</wp:posOffset>
              </wp:positionH>
              <wp:positionV relativeFrom="paragraph">
                <wp:posOffset>406400</wp:posOffset>
              </wp:positionV>
              <wp:extent cx="6286500" cy="0"/>
              <wp:effectExtent l="7620" t="6350" r="11430"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xmlns:w16sdtfl="http://schemas.microsoft.com/office/word/2024/wordml/sdtformatlock" xmlns:w16du="http://schemas.microsoft.com/office/word/2023/wordml/word16du" xmlns:oel="http://schemas.microsoft.com/office/2019/extlst">
          <w:pict w14:anchorId="57C9D951">
            <v:line id="Straight Connector 3"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14.85pt,32pt" to="509.85pt,32pt" w14:anchorId="06A39C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"/>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4C39A401" w14:textId="77777777" w:rsidR="005B5CF1" w:rsidRDefault="005B5CF1">
    <w:pPr>
      <w:jc w:val="center"/>
      <w:rPr>
        <w:sz w:val="22"/>
      </w:rPr>
    </w:pPr>
  </w:p>
  <w:p w14:paraId="5A55934D" w14:textId="77777777" w:rsidR="005B5CF1" w:rsidRDefault="005B5CF1">
    <w:pPr>
      <w:jc w:val="center"/>
      <w:rPr>
        <w:snapToGrid w:val="0"/>
        <w:color w:val="000000"/>
        <w:sz w:val="18"/>
      </w:rPr>
    </w:pPr>
  </w:p>
  <w:p w14:paraId="2000E21E" w14:textId="77777777" w:rsidR="005B5CF1" w:rsidRDefault="005B5CF1">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9FE2E" w14:textId="267E1599" w:rsidR="005B5CF1" w:rsidRPr="006E1C30" w:rsidRDefault="008E5723">
    <w:pPr>
      <w:pStyle w:val="Encabezado"/>
      <w:jc w:val="center"/>
      <w:rPr>
        <w:b/>
        <w:sz w:val="24"/>
        <w:szCs w:val="24"/>
        <w:lang w:val="es-CO"/>
      </w:rPr>
    </w:pPr>
    <w:r w:rsidRPr="00EA18B0">
      <w:rPr>
        <w:b/>
        <w:noProof/>
        <w:sz w:val="24"/>
        <w:szCs w:val="24"/>
        <w:lang w:val="en-US" w:eastAsia="en-US"/>
      </w:rPr>
      <mc:AlternateContent>
        <mc:Choice Requires="wps">
          <w:drawing>
            <wp:anchor distT="0" distB="0" distL="114300" distR="114300" simplePos="0" relativeHeight="251658244" behindDoc="0" locked="0" layoutInCell="0" allowOverlap="1" wp14:anchorId="03ADE8F4" wp14:editId="5A4BF9A2">
              <wp:simplePos x="0" y="0"/>
              <wp:positionH relativeFrom="page">
                <wp:posOffset>454761</wp:posOffset>
              </wp:positionH>
              <wp:positionV relativeFrom="page">
                <wp:posOffset>375450</wp:posOffset>
              </wp:positionV>
              <wp:extent cx="6829425" cy="11829440"/>
              <wp:effectExtent l="12700" t="12700" r="15875" b="6985"/>
              <wp:wrapNone/>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29425" cy="118294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rect w14:anchorId="0D69195E" id="Rectangle 2" o:spid="_x0000_s1026" style="position:absolute;margin-left:35.8pt;margin-top:29.55pt;width:537.75pt;height:931.4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" o:allowincell="f" filled="f" strokeweight="2pt">
              <o:lock v:ext="edit" aspectratio="t"/>
              <w10:wrap anchorx="page" anchory="page"/>
            </v:rect>
          </w:pict>
        </mc:Fallback>
      </mc:AlternateContent>
    </w:r>
    <w:r w:rsidR="00F85EB7" w:rsidRPr="006E1C30">
      <w:rPr>
        <w:b/>
        <w:sz w:val="24"/>
        <w:szCs w:val="24"/>
        <w:lang w:val="es-CO"/>
      </w:rPr>
      <w:t xml:space="preserve">RESOLUCIÓN </w:t>
    </w:r>
    <w:proofErr w:type="spellStart"/>
    <w:r w:rsidR="00F85EB7" w:rsidRPr="006E1C30">
      <w:rPr>
        <w:b/>
        <w:sz w:val="24"/>
        <w:szCs w:val="24"/>
        <w:lang w:val="es-CO"/>
      </w:rPr>
      <w:t>NÚMERO____________de</w:t>
    </w:r>
    <w:proofErr w:type="spellEnd"/>
    <w:r w:rsidR="00F85EB7" w:rsidRPr="006E1C30">
      <w:rPr>
        <w:b/>
        <w:sz w:val="24"/>
        <w:szCs w:val="24"/>
        <w:lang w:val="es-CO"/>
      </w:rPr>
      <w:t xml:space="preserve"> 202</w:t>
    </w:r>
    <w:r w:rsidR="00F85EB7">
      <w:rPr>
        <w:b/>
        <w:sz w:val="24"/>
        <w:szCs w:val="24"/>
        <w:lang w:val="es-CO"/>
      </w:rPr>
      <w:t>3</w:t>
    </w:r>
    <w:r w:rsidR="00F85EB7" w:rsidRPr="006E1C30">
      <w:rPr>
        <w:b/>
        <w:sz w:val="24"/>
        <w:szCs w:val="24"/>
        <w:lang w:val="es-CO"/>
      </w:rPr>
      <w:t xml:space="preserve"> Hoja </w:t>
    </w:r>
    <w:proofErr w:type="spellStart"/>
    <w:r w:rsidR="00F85EB7" w:rsidRPr="006E1C30">
      <w:rPr>
        <w:b/>
        <w:sz w:val="24"/>
        <w:szCs w:val="24"/>
        <w:lang w:val="es-CO"/>
      </w:rPr>
      <w:t>N°</w:t>
    </w:r>
    <w:proofErr w:type="spellEnd"/>
    <w:r w:rsidR="00F85EB7" w:rsidRPr="006E1C30">
      <w:rPr>
        <w:b/>
        <w:sz w:val="24"/>
        <w:szCs w:val="24"/>
        <w:lang w:val="es-CO"/>
      </w:rPr>
      <w:t xml:space="preserve">. </w:t>
    </w:r>
    <w:r w:rsidR="00F85EB7">
      <w:rPr>
        <w:rStyle w:val="Nmerodepgina"/>
        <w:rFonts w:eastAsiaTheme="majorEastAsia"/>
        <w:b/>
        <w:sz w:val="24"/>
        <w:szCs w:val="24"/>
      </w:rPr>
      <w:fldChar w:fldCharType="begin"/>
    </w:r>
    <w:r w:rsidR="00F85EB7" w:rsidRPr="006E1C30">
      <w:rPr>
        <w:rStyle w:val="Nmerodepgina"/>
        <w:rFonts w:eastAsiaTheme="majorEastAsia"/>
        <w:b/>
        <w:sz w:val="24"/>
        <w:szCs w:val="24"/>
        <w:lang w:val="es-CO"/>
      </w:rPr>
      <w:instrText xml:space="preserve"> PAGE </w:instrText>
    </w:r>
    <w:r w:rsidR="00F85EB7">
      <w:rPr>
        <w:rStyle w:val="Nmerodepgina"/>
        <w:rFonts w:eastAsiaTheme="majorEastAsia"/>
        <w:b/>
        <w:sz w:val="24"/>
        <w:szCs w:val="24"/>
      </w:rPr>
      <w:fldChar w:fldCharType="separate"/>
    </w:r>
    <w:r w:rsidR="00F85EB7" w:rsidRPr="006E1C30">
      <w:rPr>
        <w:rStyle w:val="Nmerodepgina"/>
        <w:rFonts w:eastAsiaTheme="majorEastAsia"/>
        <w:b/>
        <w:noProof/>
        <w:sz w:val="24"/>
        <w:szCs w:val="24"/>
        <w:lang w:val="es-CO"/>
      </w:rPr>
      <w:t>2</w:t>
    </w:r>
    <w:r w:rsidR="00F85EB7">
      <w:rPr>
        <w:rStyle w:val="Nmerodepgina"/>
        <w:rFonts w:eastAsiaTheme="majorEastAsia"/>
        <w:b/>
        <w:sz w:val="24"/>
        <w:szCs w:val="24"/>
      </w:rPr>
      <w:fldChar w:fldCharType="end"/>
    </w:r>
  </w:p>
  <w:p w14:paraId="7FC920B8" w14:textId="494DCB35" w:rsidR="005B5CF1" w:rsidRDefault="005B5CF1">
    <w:pPr>
      <w:jc w:val="center"/>
      <w:rPr>
        <w:rFonts w:cs="Arial"/>
        <w:i/>
        <w:iCs/>
        <w:sz w:val="22"/>
        <w:szCs w:val="22"/>
      </w:rPr>
    </w:pPr>
  </w:p>
  <w:p w14:paraId="61F93644" w14:textId="78FB59F3" w:rsidR="005B5CF1" w:rsidRDefault="005B5CF1">
    <w:pPr>
      <w:pStyle w:val="Encabezado"/>
      <w:tabs>
        <w:tab w:val="clear" w:pos="4320"/>
        <w:tab w:val="clear" w:pos="8640"/>
        <w:tab w:val="left" w:pos="3703"/>
      </w:tabs>
      <w:jc w:val="left"/>
      <w:rPr>
        <w:rFonts w:cs="Arial"/>
        <w:i/>
        <w:iCs/>
        <w:sz w:val="22"/>
        <w:szCs w:val="22"/>
        <w:lang w:val="es-ES"/>
      </w:rPr>
    </w:pPr>
  </w:p>
  <w:p w14:paraId="30A3BF9F" w14:textId="3E25BCA2" w:rsidR="005B5CF1" w:rsidRPr="009D377D" w:rsidRDefault="00F85EB7">
    <w:pPr>
      <w:jc w:val="center"/>
      <w:rPr>
        <w:rFonts w:cs="Arial"/>
        <w:sz w:val="21"/>
        <w:szCs w:val="21"/>
      </w:rPr>
    </w:pPr>
    <w:r w:rsidRPr="009D377D">
      <w:rPr>
        <w:rFonts w:cs="Arial"/>
        <w:i/>
        <w:iCs/>
        <w:sz w:val="21"/>
        <w:szCs w:val="21"/>
        <w:lang w:val="es-ES_tradnl"/>
      </w:rPr>
      <w:t>“</w:t>
    </w:r>
    <w:r w:rsidR="008F7E91" w:rsidRPr="4CE44823">
      <w:rPr>
        <w:rFonts w:cs="Arial"/>
        <w:i/>
        <w:iCs/>
        <w:sz w:val="21"/>
        <w:szCs w:val="21"/>
      </w:rPr>
      <w:t>Por la cual se adopta</w:t>
    </w:r>
    <w:r w:rsidR="008F7E91">
      <w:rPr>
        <w:rFonts w:cs="Arial"/>
        <w:i/>
        <w:iCs/>
        <w:sz w:val="21"/>
        <w:szCs w:val="21"/>
      </w:rPr>
      <w:t xml:space="preserve"> la versión </w:t>
    </w:r>
    <w:r w:rsidR="008F7E91">
      <w:rPr>
        <w:rFonts w:ascii="Symbol" w:eastAsia="Symbol" w:hAnsi="Symbol" w:cs="Symbol"/>
        <w:i/>
        <w:iCs/>
        <w:sz w:val="21"/>
        <w:szCs w:val="21"/>
      </w:rPr>
      <w:t>-</w:t>
    </w:r>
    <w:r w:rsidR="008F7E91">
      <w:rPr>
        <w:rFonts w:cs="Arial"/>
        <w:i/>
        <w:iCs/>
        <w:sz w:val="21"/>
        <w:szCs w:val="21"/>
      </w:rPr>
      <w:t xml:space="preserve"> 2 de</w:t>
    </w:r>
    <w:r w:rsidR="008F7E91" w:rsidRPr="4CE44823">
      <w:rPr>
        <w:rFonts w:cs="Arial"/>
        <w:i/>
        <w:iCs/>
        <w:sz w:val="21"/>
        <w:szCs w:val="21"/>
      </w:rPr>
      <w:t xml:space="preserve"> los documentos tipo para los procesos de </w:t>
    </w:r>
    <w:r w:rsidR="008F7E91">
      <w:rPr>
        <w:rFonts w:cs="Arial"/>
        <w:i/>
        <w:iCs/>
        <w:sz w:val="21"/>
        <w:szCs w:val="21"/>
      </w:rPr>
      <w:t>concurso de méritos para contratar la interventoría de obras públicas de infraestructura social; que agrupa los sectores de educación, salud, cultura, recreación y deporte</w:t>
    </w:r>
    <w:r w:rsidR="008E5723">
      <w:rPr>
        <w:rFonts w:cs="Arial"/>
        <w:i/>
        <w:iCs/>
        <w:sz w:val="21"/>
        <w:szCs w:val="21"/>
      </w:rPr>
      <w:t>, institucional y vivienda</w:t>
    </w:r>
    <w:r w:rsidRPr="009D377D">
      <w:rPr>
        <w:rFonts w:cs="Arial"/>
        <w:i/>
        <w:iCs/>
        <w:sz w:val="21"/>
        <w:szCs w:val="21"/>
        <w:lang w:val="es-ES_tradnl"/>
      </w:rPr>
      <w:t>”</w:t>
    </w:r>
    <w:r w:rsidRPr="009D377D" w:rsidDel="005F0E24">
      <w:rPr>
        <w:rFonts w:cs="Arial"/>
        <w:i/>
        <w:iCs/>
        <w:sz w:val="21"/>
        <w:szCs w:val="21"/>
        <w:highlight w:val="lightGray"/>
        <w:lang w:val="es-ES_tradn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F2D5" w14:textId="49C01A21" w:rsidR="005B5CF1" w:rsidRDefault="00126534">
    <w:pPr>
      <w:pStyle w:val="Encabezado"/>
      <w:tabs>
        <w:tab w:val="clear" w:pos="4320"/>
        <w:tab w:val="clear" w:pos="8640"/>
        <w:tab w:val="left" w:pos="9000"/>
        <w:tab w:val="right" w:leader="underscore" w:pos="10530"/>
      </w:tabs>
      <w:jc w:val="center"/>
      <w:rPr>
        <w:b/>
        <w:sz w:val="24"/>
        <w:szCs w:val="24"/>
      </w:rPr>
    </w:pPr>
    <w:r>
      <w:rPr>
        <w:noProof/>
        <w:sz w:val="28"/>
        <w:lang w:val="en-US" w:eastAsia="en-US"/>
      </w:rPr>
      <mc:AlternateContent>
        <mc:Choice Requires="wps">
          <w:drawing>
            <wp:anchor distT="0" distB="0" distL="114300" distR="114300" simplePos="0" relativeHeight="251658242" behindDoc="0" locked="0" layoutInCell="0" allowOverlap="1" wp14:anchorId="2E1E32D6" wp14:editId="57E6B8D4">
              <wp:simplePos x="0" y="0"/>
              <wp:positionH relativeFrom="page">
                <wp:posOffset>457200</wp:posOffset>
              </wp:positionH>
              <wp:positionV relativeFrom="margin">
                <wp:posOffset>-2040746</wp:posOffset>
              </wp:positionV>
              <wp:extent cx="6830695" cy="12185674"/>
              <wp:effectExtent l="0" t="0" r="27305" b="2540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30695" cy="12185674"/>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rect w14:anchorId="3B31AC14" id="Rectangle 1" o:spid="_x0000_s1026" style="position:absolute;margin-left:36pt;margin-top:-160.7pt;width:537.85pt;height:959.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" o:allowincell="f" filled="f" strokeweight="2pt">
              <o:lock v:ext="edit" aspectratio="t"/>
              <w10:wrap anchorx="page" anchory="margin"/>
            </v:rect>
          </w:pict>
        </mc:Fallback>
      </mc:AlternateContent>
    </w:r>
    <w:r w:rsidR="00E17415">
      <w:rPr>
        <w:noProof/>
      </w:rPr>
      <w:drawing>
        <wp:anchor distT="0" distB="0" distL="114300" distR="114300" simplePos="0" relativeHeight="251658240" behindDoc="0" locked="0" layoutInCell="1" allowOverlap="1" wp14:anchorId="409C422A" wp14:editId="1DEFD8D1">
          <wp:simplePos x="0" y="0"/>
          <wp:positionH relativeFrom="column">
            <wp:posOffset>2286000</wp:posOffset>
          </wp:positionH>
          <wp:positionV relativeFrom="paragraph">
            <wp:posOffset>-39370</wp:posOffset>
          </wp:positionV>
          <wp:extent cx="1323975" cy="723900"/>
          <wp:effectExtent l="0" t="0" r="0" b="0"/>
          <wp:wrapTopAndBottom/>
          <wp:docPr id="59259980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723900"/>
                  </a:xfrm>
                  <a:prstGeom prst="rect">
                    <a:avLst/>
                  </a:prstGeom>
                  <a:noFill/>
                </pic:spPr>
              </pic:pic>
            </a:graphicData>
          </a:graphic>
          <wp14:sizeRelH relativeFrom="page">
            <wp14:pctWidth>0</wp14:pctWidth>
          </wp14:sizeRelH>
          <wp14:sizeRelV relativeFrom="page">
            <wp14:pctHeight>0</wp14:pctHeight>
          </wp14:sizeRelV>
        </wp:anchor>
      </w:drawing>
    </w:r>
    <w:r w:rsidR="00F85EB7">
      <w:rPr>
        <w:b/>
        <w:sz w:val="24"/>
        <w:szCs w:val="24"/>
      </w:rPr>
      <w:t>AGENCIA NACIONAL DE CONTRATACIÓN PUBLICA</w:t>
    </w:r>
  </w:p>
  <w:p w14:paraId="092790E0" w14:textId="2A34E19D" w:rsidR="005B5CF1" w:rsidRDefault="00F85EB7">
    <w:pPr>
      <w:pStyle w:val="Encabezado"/>
      <w:jc w:val="center"/>
      <w:rPr>
        <w:b/>
        <w:sz w:val="24"/>
        <w:szCs w:val="24"/>
      </w:rPr>
    </w:pPr>
    <w:r>
      <w:rPr>
        <w:b/>
        <w:sz w:val="24"/>
        <w:szCs w:val="24"/>
      </w:rPr>
      <w:t>COLOMBIA COMPRA EFICIENTE</w:t>
    </w:r>
  </w:p>
  <w:p w14:paraId="4DED9D64" w14:textId="69032510" w:rsidR="005B5CF1" w:rsidRDefault="005B5CF1">
    <w:pPr>
      <w:pStyle w:val="Encabezado"/>
      <w:jc w:val="center"/>
      <w:rPr>
        <w:b/>
        <w:sz w:val="24"/>
        <w:szCs w:val="24"/>
      </w:rPr>
    </w:pPr>
  </w:p>
  <w:p w14:paraId="2FBBF220" w14:textId="56B99820" w:rsidR="005B5CF1" w:rsidRDefault="005B5CF1">
    <w:pPr>
      <w:pStyle w:val="Encabezado"/>
      <w:jc w:val="center"/>
      <w:rPr>
        <w:b/>
        <w:sz w:val="24"/>
        <w:szCs w:val="24"/>
      </w:rPr>
    </w:pPr>
  </w:p>
  <w:p w14:paraId="58448593" w14:textId="63332BEA" w:rsidR="005B5CF1" w:rsidRDefault="00F85EB7">
    <w:pPr>
      <w:pStyle w:val="Encabezado"/>
      <w:jc w:val="center"/>
      <w:rPr>
        <w:b/>
        <w:sz w:val="24"/>
        <w:szCs w:val="24"/>
      </w:rPr>
    </w:pPr>
    <w:r>
      <w:rPr>
        <w:b/>
        <w:sz w:val="24"/>
        <w:szCs w:val="24"/>
      </w:rPr>
      <w:t>RESOLUCIÓN NÚMERO                        DE 2025</w:t>
    </w:r>
  </w:p>
  <w:p w14:paraId="57C52AF9" w14:textId="79990CDB" w:rsidR="005B5CF1" w:rsidRDefault="005B5CF1">
    <w:pPr>
      <w:pStyle w:val="Encabezado"/>
      <w:jc w:val="center"/>
      <w:rPr>
        <w:b/>
        <w:sz w:val="24"/>
        <w:szCs w:val="24"/>
      </w:rPr>
    </w:pPr>
  </w:p>
  <w:p w14:paraId="420E72BD" w14:textId="77777777" w:rsidR="005B5CF1" w:rsidRDefault="005B5CF1">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A8EE7"/>
    <w:multiLevelType w:val="hybridMultilevel"/>
    <w:tmpl w:val="BE4016C2"/>
    <w:lvl w:ilvl="0" w:tplc="61AEB0C8">
      <w:start w:val="1"/>
      <w:numFmt w:val="upperLetter"/>
      <w:lvlText w:val="%1."/>
      <w:lvlJc w:val="left"/>
      <w:pPr>
        <w:ind w:left="1068" w:hanging="360"/>
      </w:pPr>
      <w:rPr>
        <w:b/>
        <w:bCs/>
      </w:rPr>
    </w:lvl>
    <w:lvl w:ilvl="1" w:tplc="6720A17C">
      <w:start w:val="1"/>
      <w:numFmt w:val="lowerLetter"/>
      <w:lvlText w:val="%2."/>
      <w:lvlJc w:val="left"/>
      <w:pPr>
        <w:ind w:left="1788" w:hanging="360"/>
      </w:pPr>
    </w:lvl>
    <w:lvl w:ilvl="2" w:tplc="BDF031B6">
      <w:start w:val="1"/>
      <w:numFmt w:val="lowerRoman"/>
      <w:lvlText w:val="%3."/>
      <w:lvlJc w:val="right"/>
      <w:pPr>
        <w:ind w:left="2508" w:hanging="180"/>
      </w:pPr>
    </w:lvl>
    <w:lvl w:ilvl="3" w:tplc="73CCCF1C">
      <w:start w:val="1"/>
      <w:numFmt w:val="decimal"/>
      <w:lvlText w:val="%4."/>
      <w:lvlJc w:val="left"/>
      <w:pPr>
        <w:ind w:left="928" w:hanging="360"/>
      </w:pPr>
      <w:rPr>
        <w:b w:val="0"/>
        <w:bCs w:val="0"/>
        <w:sz w:val="22"/>
        <w:szCs w:val="22"/>
      </w:rPr>
    </w:lvl>
    <w:lvl w:ilvl="4" w:tplc="68D29D58">
      <w:start w:val="1"/>
      <w:numFmt w:val="lowerLetter"/>
      <w:lvlText w:val="%5."/>
      <w:lvlJc w:val="left"/>
      <w:pPr>
        <w:ind w:left="3948" w:hanging="360"/>
      </w:pPr>
    </w:lvl>
    <w:lvl w:ilvl="5" w:tplc="AFBEB2EA">
      <w:start w:val="1"/>
      <w:numFmt w:val="lowerRoman"/>
      <w:lvlText w:val="%6."/>
      <w:lvlJc w:val="right"/>
      <w:pPr>
        <w:ind w:left="4668" w:hanging="180"/>
      </w:pPr>
    </w:lvl>
    <w:lvl w:ilvl="6" w:tplc="66F89F74">
      <w:start w:val="1"/>
      <w:numFmt w:val="decimal"/>
      <w:lvlText w:val="%7."/>
      <w:lvlJc w:val="left"/>
      <w:pPr>
        <w:ind w:left="5388" w:hanging="360"/>
      </w:pPr>
    </w:lvl>
    <w:lvl w:ilvl="7" w:tplc="B2A6033C">
      <w:start w:val="1"/>
      <w:numFmt w:val="lowerLetter"/>
      <w:lvlText w:val="%8."/>
      <w:lvlJc w:val="left"/>
      <w:pPr>
        <w:ind w:left="6108" w:hanging="360"/>
      </w:pPr>
    </w:lvl>
    <w:lvl w:ilvl="8" w:tplc="6B6A4B6A">
      <w:start w:val="1"/>
      <w:numFmt w:val="lowerRoman"/>
      <w:lvlText w:val="%9."/>
      <w:lvlJc w:val="right"/>
      <w:pPr>
        <w:ind w:left="6828" w:hanging="180"/>
      </w:pPr>
    </w:lvl>
  </w:abstractNum>
  <w:abstractNum w:abstractNumId="1"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 w15:restartNumberingAfterBreak="0">
    <w:nsid w:val="373D1F4F"/>
    <w:multiLevelType w:val="hybridMultilevel"/>
    <w:tmpl w:val="FFFFFFFF"/>
    <w:lvl w:ilvl="0" w:tplc="9998FF26">
      <w:start w:val="1"/>
      <w:numFmt w:val="decimal"/>
      <w:lvlText w:val="%1."/>
      <w:lvlJc w:val="left"/>
      <w:pPr>
        <w:ind w:left="720" w:hanging="360"/>
      </w:pPr>
    </w:lvl>
    <w:lvl w:ilvl="1" w:tplc="0ADCEFD0">
      <w:start w:val="1"/>
      <w:numFmt w:val="lowerLetter"/>
      <w:lvlText w:val="%2."/>
      <w:lvlJc w:val="left"/>
      <w:pPr>
        <w:ind w:left="1440" w:hanging="360"/>
      </w:pPr>
    </w:lvl>
    <w:lvl w:ilvl="2" w:tplc="BE7E78F6">
      <w:start w:val="1"/>
      <w:numFmt w:val="lowerRoman"/>
      <w:lvlText w:val="%3."/>
      <w:lvlJc w:val="right"/>
      <w:pPr>
        <w:ind w:left="2160" w:hanging="180"/>
      </w:pPr>
    </w:lvl>
    <w:lvl w:ilvl="3" w:tplc="F2C4D5F4">
      <w:start w:val="1"/>
      <w:numFmt w:val="decimal"/>
      <w:lvlText w:val="%4."/>
      <w:lvlJc w:val="left"/>
      <w:pPr>
        <w:ind w:left="2880" w:hanging="360"/>
      </w:pPr>
    </w:lvl>
    <w:lvl w:ilvl="4" w:tplc="8FB6E312">
      <w:start w:val="1"/>
      <w:numFmt w:val="lowerLetter"/>
      <w:lvlText w:val="%5."/>
      <w:lvlJc w:val="left"/>
      <w:pPr>
        <w:ind w:left="3600" w:hanging="360"/>
      </w:pPr>
    </w:lvl>
    <w:lvl w:ilvl="5" w:tplc="BC906234">
      <w:start w:val="1"/>
      <w:numFmt w:val="lowerRoman"/>
      <w:lvlText w:val="%6."/>
      <w:lvlJc w:val="right"/>
      <w:pPr>
        <w:ind w:left="4320" w:hanging="180"/>
      </w:pPr>
    </w:lvl>
    <w:lvl w:ilvl="6" w:tplc="D7F2FD6C">
      <w:start w:val="1"/>
      <w:numFmt w:val="decimal"/>
      <w:lvlText w:val="%7."/>
      <w:lvlJc w:val="left"/>
      <w:pPr>
        <w:ind w:left="5040" w:hanging="360"/>
      </w:pPr>
    </w:lvl>
    <w:lvl w:ilvl="7" w:tplc="CEBA4D5E">
      <w:start w:val="1"/>
      <w:numFmt w:val="lowerLetter"/>
      <w:lvlText w:val="%8."/>
      <w:lvlJc w:val="left"/>
      <w:pPr>
        <w:ind w:left="5760" w:hanging="360"/>
      </w:pPr>
    </w:lvl>
    <w:lvl w:ilvl="8" w:tplc="77C2B5D6">
      <w:start w:val="1"/>
      <w:numFmt w:val="lowerRoman"/>
      <w:lvlText w:val="%9."/>
      <w:lvlJc w:val="right"/>
      <w:pPr>
        <w:ind w:left="6480" w:hanging="180"/>
      </w:pPr>
    </w:lvl>
  </w:abstractNum>
  <w:abstractNum w:abstractNumId="3"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F797718"/>
    <w:multiLevelType w:val="hybridMultilevel"/>
    <w:tmpl w:val="FFFFFFFF"/>
    <w:lvl w:ilvl="0" w:tplc="1EBA46C0">
      <w:start w:val="1"/>
      <w:numFmt w:val="decimal"/>
      <w:lvlText w:val="%1."/>
      <w:lvlJc w:val="left"/>
      <w:pPr>
        <w:ind w:left="720" w:hanging="360"/>
      </w:pPr>
    </w:lvl>
    <w:lvl w:ilvl="1" w:tplc="91D2D046">
      <w:start w:val="1"/>
      <w:numFmt w:val="lowerLetter"/>
      <w:lvlText w:val="%2."/>
      <w:lvlJc w:val="left"/>
      <w:pPr>
        <w:ind w:left="1440" w:hanging="360"/>
      </w:pPr>
    </w:lvl>
    <w:lvl w:ilvl="2" w:tplc="B9C69A5C">
      <w:start w:val="1"/>
      <w:numFmt w:val="lowerRoman"/>
      <w:lvlText w:val="%3."/>
      <w:lvlJc w:val="right"/>
      <w:pPr>
        <w:ind w:left="2160" w:hanging="180"/>
      </w:pPr>
    </w:lvl>
    <w:lvl w:ilvl="3" w:tplc="4F12CDAA">
      <w:start w:val="1"/>
      <w:numFmt w:val="decimal"/>
      <w:lvlText w:val="%4."/>
      <w:lvlJc w:val="left"/>
      <w:pPr>
        <w:ind w:left="2880" w:hanging="360"/>
      </w:pPr>
    </w:lvl>
    <w:lvl w:ilvl="4" w:tplc="A8F08680">
      <w:start w:val="1"/>
      <w:numFmt w:val="lowerLetter"/>
      <w:lvlText w:val="%5."/>
      <w:lvlJc w:val="left"/>
      <w:pPr>
        <w:ind w:left="3600" w:hanging="360"/>
      </w:pPr>
    </w:lvl>
    <w:lvl w:ilvl="5" w:tplc="51688D8C">
      <w:start w:val="1"/>
      <w:numFmt w:val="lowerRoman"/>
      <w:lvlText w:val="%6."/>
      <w:lvlJc w:val="right"/>
      <w:pPr>
        <w:ind w:left="4320" w:hanging="180"/>
      </w:pPr>
    </w:lvl>
    <w:lvl w:ilvl="6" w:tplc="C4A0CACA">
      <w:start w:val="1"/>
      <w:numFmt w:val="decimal"/>
      <w:lvlText w:val="%7."/>
      <w:lvlJc w:val="left"/>
      <w:pPr>
        <w:ind w:left="5040" w:hanging="360"/>
      </w:pPr>
    </w:lvl>
    <w:lvl w:ilvl="7" w:tplc="5A864DFC">
      <w:start w:val="1"/>
      <w:numFmt w:val="lowerLetter"/>
      <w:lvlText w:val="%8."/>
      <w:lvlJc w:val="left"/>
      <w:pPr>
        <w:ind w:left="5760" w:hanging="360"/>
      </w:pPr>
    </w:lvl>
    <w:lvl w:ilvl="8" w:tplc="178E0B7E">
      <w:start w:val="1"/>
      <w:numFmt w:val="lowerRoman"/>
      <w:lvlText w:val="%9."/>
      <w:lvlJc w:val="right"/>
      <w:pPr>
        <w:ind w:left="6480" w:hanging="180"/>
      </w:pPr>
    </w:lvl>
  </w:abstractNum>
  <w:abstractNum w:abstractNumId="5" w15:restartNumberingAfterBreak="0">
    <w:nsid w:val="7FFD60DE"/>
    <w:multiLevelType w:val="hybridMultilevel"/>
    <w:tmpl w:val="AE602784"/>
    <w:lvl w:ilvl="0" w:tplc="5E160EE2">
      <w:start w:val="1"/>
      <w:numFmt w:val="decimal"/>
      <w:lvlText w:val="%1."/>
      <w:lvlJc w:val="left"/>
      <w:pPr>
        <w:ind w:left="720" w:hanging="360"/>
      </w:pPr>
      <w:rPr>
        <w:b w:val="0"/>
        <w:bCs/>
      </w:rPr>
    </w:lvl>
    <w:lvl w:ilvl="1" w:tplc="D5C45D8E">
      <w:start w:val="1"/>
      <w:numFmt w:val="lowerLetter"/>
      <w:lvlText w:val="%2."/>
      <w:lvlJc w:val="left"/>
      <w:pPr>
        <w:ind w:left="1440" w:hanging="360"/>
      </w:pPr>
    </w:lvl>
    <w:lvl w:ilvl="2" w:tplc="8FF2B6BC">
      <w:start w:val="1"/>
      <w:numFmt w:val="lowerRoman"/>
      <w:lvlText w:val="%3."/>
      <w:lvlJc w:val="right"/>
      <w:pPr>
        <w:ind w:left="2160" w:hanging="180"/>
      </w:pPr>
    </w:lvl>
    <w:lvl w:ilvl="3" w:tplc="F7063D1E">
      <w:start w:val="1"/>
      <w:numFmt w:val="decimal"/>
      <w:lvlText w:val="%4."/>
      <w:lvlJc w:val="left"/>
      <w:pPr>
        <w:ind w:left="2880" w:hanging="360"/>
      </w:pPr>
    </w:lvl>
    <w:lvl w:ilvl="4" w:tplc="1C123A7A">
      <w:start w:val="1"/>
      <w:numFmt w:val="lowerLetter"/>
      <w:lvlText w:val="%5."/>
      <w:lvlJc w:val="left"/>
      <w:pPr>
        <w:ind w:left="3600" w:hanging="360"/>
      </w:pPr>
    </w:lvl>
    <w:lvl w:ilvl="5" w:tplc="A1FA914C">
      <w:start w:val="1"/>
      <w:numFmt w:val="lowerRoman"/>
      <w:lvlText w:val="%6."/>
      <w:lvlJc w:val="right"/>
      <w:pPr>
        <w:ind w:left="4320" w:hanging="180"/>
      </w:pPr>
    </w:lvl>
    <w:lvl w:ilvl="6" w:tplc="A4C0DCBE">
      <w:start w:val="1"/>
      <w:numFmt w:val="decimal"/>
      <w:lvlText w:val="%7."/>
      <w:lvlJc w:val="left"/>
      <w:pPr>
        <w:ind w:left="5040" w:hanging="360"/>
      </w:pPr>
    </w:lvl>
    <w:lvl w:ilvl="7" w:tplc="EDC89EA2">
      <w:start w:val="1"/>
      <w:numFmt w:val="lowerLetter"/>
      <w:lvlText w:val="%8."/>
      <w:lvlJc w:val="left"/>
      <w:pPr>
        <w:ind w:left="5760" w:hanging="360"/>
      </w:pPr>
    </w:lvl>
    <w:lvl w:ilvl="8" w:tplc="4CB29EB6">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415"/>
    <w:rsid w:val="000020EA"/>
    <w:rsid w:val="0000692A"/>
    <w:rsid w:val="000259A3"/>
    <w:rsid w:val="000A187B"/>
    <w:rsid w:val="000A51E6"/>
    <w:rsid w:val="000B5DA2"/>
    <w:rsid w:val="000E6679"/>
    <w:rsid w:val="000E7288"/>
    <w:rsid w:val="000F0FA2"/>
    <w:rsid w:val="000F303D"/>
    <w:rsid w:val="0010224F"/>
    <w:rsid w:val="00110A1F"/>
    <w:rsid w:val="00120166"/>
    <w:rsid w:val="00126534"/>
    <w:rsid w:val="00133369"/>
    <w:rsid w:val="0014092A"/>
    <w:rsid w:val="001448F8"/>
    <w:rsid w:val="00153564"/>
    <w:rsid w:val="00161A53"/>
    <w:rsid w:val="00162842"/>
    <w:rsid w:val="00163298"/>
    <w:rsid w:val="00177E87"/>
    <w:rsid w:val="00182B0D"/>
    <w:rsid w:val="001861DE"/>
    <w:rsid w:val="001A65F7"/>
    <w:rsid w:val="001D5635"/>
    <w:rsid w:val="001E2CFA"/>
    <w:rsid w:val="001E40CB"/>
    <w:rsid w:val="001F3A59"/>
    <w:rsid w:val="00200348"/>
    <w:rsid w:val="002219F2"/>
    <w:rsid w:val="00234B3C"/>
    <w:rsid w:val="002435BF"/>
    <w:rsid w:val="00257877"/>
    <w:rsid w:val="0027041F"/>
    <w:rsid w:val="00284C38"/>
    <w:rsid w:val="002921DC"/>
    <w:rsid w:val="002A77F0"/>
    <w:rsid w:val="002C0A3B"/>
    <w:rsid w:val="002D31DC"/>
    <w:rsid w:val="002F3DAB"/>
    <w:rsid w:val="00304764"/>
    <w:rsid w:val="003055A5"/>
    <w:rsid w:val="00316D61"/>
    <w:rsid w:val="00317F1E"/>
    <w:rsid w:val="0033794F"/>
    <w:rsid w:val="00342083"/>
    <w:rsid w:val="003444C4"/>
    <w:rsid w:val="00360B1A"/>
    <w:rsid w:val="00370CC6"/>
    <w:rsid w:val="0038485B"/>
    <w:rsid w:val="003A4551"/>
    <w:rsid w:val="003B4FAD"/>
    <w:rsid w:val="003C0A83"/>
    <w:rsid w:val="003C219F"/>
    <w:rsid w:val="003D024C"/>
    <w:rsid w:val="003E2305"/>
    <w:rsid w:val="003E40DF"/>
    <w:rsid w:val="003F3662"/>
    <w:rsid w:val="0041281F"/>
    <w:rsid w:val="00441657"/>
    <w:rsid w:val="0045028C"/>
    <w:rsid w:val="004652AA"/>
    <w:rsid w:val="004716CD"/>
    <w:rsid w:val="00484869"/>
    <w:rsid w:val="00485426"/>
    <w:rsid w:val="00491F17"/>
    <w:rsid w:val="004A3A0A"/>
    <w:rsid w:val="004B26DB"/>
    <w:rsid w:val="004B5233"/>
    <w:rsid w:val="00525721"/>
    <w:rsid w:val="00562F81"/>
    <w:rsid w:val="00595943"/>
    <w:rsid w:val="005B5CF1"/>
    <w:rsid w:val="005C4592"/>
    <w:rsid w:val="005D51C1"/>
    <w:rsid w:val="005E0449"/>
    <w:rsid w:val="005E3FCA"/>
    <w:rsid w:val="00602DC2"/>
    <w:rsid w:val="00606B25"/>
    <w:rsid w:val="00620E6A"/>
    <w:rsid w:val="00621547"/>
    <w:rsid w:val="0063438C"/>
    <w:rsid w:val="0063568D"/>
    <w:rsid w:val="006635A1"/>
    <w:rsid w:val="00697980"/>
    <w:rsid w:val="006C2434"/>
    <w:rsid w:val="006D0313"/>
    <w:rsid w:val="006D0622"/>
    <w:rsid w:val="006D55BC"/>
    <w:rsid w:val="006E0A6C"/>
    <w:rsid w:val="006F717D"/>
    <w:rsid w:val="0071221A"/>
    <w:rsid w:val="00715C65"/>
    <w:rsid w:val="007259EB"/>
    <w:rsid w:val="00732411"/>
    <w:rsid w:val="00770754"/>
    <w:rsid w:val="00772FAA"/>
    <w:rsid w:val="00781922"/>
    <w:rsid w:val="00782385"/>
    <w:rsid w:val="007842CD"/>
    <w:rsid w:val="007A6C0A"/>
    <w:rsid w:val="007B33BF"/>
    <w:rsid w:val="007D6563"/>
    <w:rsid w:val="007E05A8"/>
    <w:rsid w:val="007F5834"/>
    <w:rsid w:val="008074BF"/>
    <w:rsid w:val="008143CA"/>
    <w:rsid w:val="00825E89"/>
    <w:rsid w:val="008348B9"/>
    <w:rsid w:val="008361D8"/>
    <w:rsid w:val="00841C87"/>
    <w:rsid w:val="00860E1A"/>
    <w:rsid w:val="00881D7B"/>
    <w:rsid w:val="00882E38"/>
    <w:rsid w:val="008A0A7B"/>
    <w:rsid w:val="008A434F"/>
    <w:rsid w:val="008C186B"/>
    <w:rsid w:val="008C6369"/>
    <w:rsid w:val="008E5723"/>
    <w:rsid w:val="008F7E91"/>
    <w:rsid w:val="009447E5"/>
    <w:rsid w:val="00946365"/>
    <w:rsid w:val="0096211B"/>
    <w:rsid w:val="00974B63"/>
    <w:rsid w:val="00976943"/>
    <w:rsid w:val="00980DCD"/>
    <w:rsid w:val="00984762"/>
    <w:rsid w:val="0098717C"/>
    <w:rsid w:val="00987BF3"/>
    <w:rsid w:val="00992EA3"/>
    <w:rsid w:val="00995C0B"/>
    <w:rsid w:val="009B5854"/>
    <w:rsid w:val="009C1EFD"/>
    <w:rsid w:val="009D04F2"/>
    <w:rsid w:val="009E6F01"/>
    <w:rsid w:val="009F2755"/>
    <w:rsid w:val="00A00163"/>
    <w:rsid w:val="00A03996"/>
    <w:rsid w:val="00A15B57"/>
    <w:rsid w:val="00A414E6"/>
    <w:rsid w:val="00A42D51"/>
    <w:rsid w:val="00A606D1"/>
    <w:rsid w:val="00A70DDD"/>
    <w:rsid w:val="00A72411"/>
    <w:rsid w:val="00A815F2"/>
    <w:rsid w:val="00A86BAA"/>
    <w:rsid w:val="00A927BB"/>
    <w:rsid w:val="00AA29A2"/>
    <w:rsid w:val="00AA53A0"/>
    <w:rsid w:val="00AB14A2"/>
    <w:rsid w:val="00AB6F68"/>
    <w:rsid w:val="00AC64FE"/>
    <w:rsid w:val="00B04085"/>
    <w:rsid w:val="00B21860"/>
    <w:rsid w:val="00B376CC"/>
    <w:rsid w:val="00B62C18"/>
    <w:rsid w:val="00B7425B"/>
    <w:rsid w:val="00B76BBB"/>
    <w:rsid w:val="00B87A85"/>
    <w:rsid w:val="00B92F21"/>
    <w:rsid w:val="00BA1320"/>
    <w:rsid w:val="00BB5C20"/>
    <w:rsid w:val="00BB6B14"/>
    <w:rsid w:val="00BC6C39"/>
    <w:rsid w:val="00BD0D9B"/>
    <w:rsid w:val="00BE2B5F"/>
    <w:rsid w:val="00BE6E7A"/>
    <w:rsid w:val="00C26A50"/>
    <w:rsid w:val="00C35B42"/>
    <w:rsid w:val="00C42548"/>
    <w:rsid w:val="00C55FB4"/>
    <w:rsid w:val="00C60BCA"/>
    <w:rsid w:val="00C6116D"/>
    <w:rsid w:val="00C65D8E"/>
    <w:rsid w:val="00C875B3"/>
    <w:rsid w:val="00CB6AE9"/>
    <w:rsid w:val="00CC10A8"/>
    <w:rsid w:val="00CC5BB4"/>
    <w:rsid w:val="00D03D9C"/>
    <w:rsid w:val="00D060CD"/>
    <w:rsid w:val="00D120A6"/>
    <w:rsid w:val="00D31F4E"/>
    <w:rsid w:val="00D40454"/>
    <w:rsid w:val="00D41EDC"/>
    <w:rsid w:val="00D55A0C"/>
    <w:rsid w:val="00D73181"/>
    <w:rsid w:val="00D75BB1"/>
    <w:rsid w:val="00D875F2"/>
    <w:rsid w:val="00D877E0"/>
    <w:rsid w:val="00D92128"/>
    <w:rsid w:val="00DA2E08"/>
    <w:rsid w:val="00DA6129"/>
    <w:rsid w:val="00DA7B8E"/>
    <w:rsid w:val="00DD01E4"/>
    <w:rsid w:val="00DD54F9"/>
    <w:rsid w:val="00DF35C9"/>
    <w:rsid w:val="00E022B1"/>
    <w:rsid w:val="00E0514E"/>
    <w:rsid w:val="00E17415"/>
    <w:rsid w:val="00E348F2"/>
    <w:rsid w:val="00E40822"/>
    <w:rsid w:val="00E43081"/>
    <w:rsid w:val="00E436FA"/>
    <w:rsid w:val="00E5360E"/>
    <w:rsid w:val="00E74676"/>
    <w:rsid w:val="00E93C75"/>
    <w:rsid w:val="00E957A4"/>
    <w:rsid w:val="00E97350"/>
    <w:rsid w:val="00EB0021"/>
    <w:rsid w:val="00EB471C"/>
    <w:rsid w:val="00EB6A5C"/>
    <w:rsid w:val="00EC5657"/>
    <w:rsid w:val="00EE12DD"/>
    <w:rsid w:val="00EE6034"/>
    <w:rsid w:val="00EF1994"/>
    <w:rsid w:val="00EF5311"/>
    <w:rsid w:val="00F03D28"/>
    <w:rsid w:val="00F13207"/>
    <w:rsid w:val="00F256D1"/>
    <w:rsid w:val="00F854C7"/>
    <w:rsid w:val="00F85EB7"/>
    <w:rsid w:val="00FA3B2B"/>
    <w:rsid w:val="00FC05CD"/>
    <w:rsid w:val="00FD281B"/>
    <w:rsid w:val="00FE19ED"/>
    <w:rsid w:val="03D803B6"/>
    <w:rsid w:val="05516FFC"/>
    <w:rsid w:val="0711E9DD"/>
    <w:rsid w:val="19F83033"/>
    <w:rsid w:val="1EAD48CC"/>
    <w:rsid w:val="20DF875D"/>
    <w:rsid w:val="212BFCED"/>
    <w:rsid w:val="24E8C0C2"/>
    <w:rsid w:val="25EDFD71"/>
    <w:rsid w:val="27DAD02D"/>
    <w:rsid w:val="2848D76D"/>
    <w:rsid w:val="331FF137"/>
    <w:rsid w:val="419A13EA"/>
    <w:rsid w:val="454B003F"/>
    <w:rsid w:val="45DAE701"/>
    <w:rsid w:val="4F8F2E82"/>
    <w:rsid w:val="5596032B"/>
    <w:rsid w:val="560D2D7A"/>
    <w:rsid w:val="5B48F4BE"/>
    <w:rsid w:val="6649678F"/>
    <w:rsid w:val="69F021AD"/>
    <w:rsid w:val="743384CD"/>
    <w:rsid w:val="75B4CAA6"/>
    <w:rsid w:val="79B4C069"/>
    <w:rsid w:val="7AF8C355"/>
    <w:rsid w:val="7BFFFFE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30EE8"/>
  <w15:chartTrackingRefBased/>
  <w15:docId w15:val="{0E64EEEC-0689-4882-82EA-E9834161C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415"/>
    <w:pPr>
      <w:spacing w:after="0" w:line="240" w:lineRule="auto"/>
    </w:pPr>
    <w:rPr>
      <w:rFonts w:ascii="Arial" w:eastAsia="Times New Roman" w:hAnsi="Arial" w:cs="Times New Roman"/>
      <w:kern w:val="0"/>
      <w:lang w:val="es-ES" w:eastAsia="es-ES"/>
      <w14:ligatures w14:val="none"/>
    </w:rPr>
  </w:style>
  <w:style w:type="paragraph" w:styleId="Ttulo1">
    <w:name w:val="heading 1"/>
    <w:basedOn w:val="Normal"/>
    <w:next w:val="Normal"/>
    <w:link w:val="Ttulo1Car"/>
    <w:uiPriority w:val="9"/>
    <w:qFormat/>
    <w:rsid w:val="00E174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174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1741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1741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1741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17415"/>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17415"/>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17415"/>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17415"/>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741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1741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1741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1741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1741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1741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1741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1741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17415"/>
    <w:rPr>
      <w:rFonts w:eastAsiaTheme="majorEastAsia" w:cstheme="majorBidi"/>
      <w:color w:val="272727" w:themeColor="text1" w:themeTint="D8"/>
    </w:rPr>
  </w:style>
  <w:style w:type="paragraph" w:styleId="Ttulo">
    <w:name w:val="Title"/>
    <w:basedOn w:val="Normal"/>
    <w:next w:val="Normal"/>
    <w:link w:val="TtuloCar"/>
    <w:uiPriority w:val="10"/>
    <w:qFormat/>
    <w:rsid w:val="00E17415"/>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1741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1741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1741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17415"/>
    <w:pPr>
      <w:spacing w:before="160"/>
      <w:jc w:val="center"/>
    </w:pPr>
    <w:rPr>
      <w:i/>
      <w:iCs/>
      <w:color w:val="404040" w:themeColor="text1" w:themeTint="BF"/>
    </w:rPr>
  </w:style>
  <w:style w:type="character" w:customStyle="1" w:styleId="CitaCar">
    <w:name w:val="Cita Car"/>
    <w:basedOn w:val="Fuentedeprrafopredeter"/>
    <w:link w:val="Cita"/>
    <w:uiPriority w:val="29"/>
    <w:rsid w:val="00E17415"/>
    <w:rPr>
      <w:i/>
      <w:iCs/>
      <w:color w:val="404040" w:themeColor="text1" w:themeTint="BF"/>
    </w:rPr>
  </w:style>
  <w:style w:type="paragraph" w:styleId="Prrafodelista">
    <w:name w:val="List Paragraph"/>
    <w:aliases w:val="Bullet List,FooterText,List Paragraph1,numbered,Paragraphe de liste1,Bulletr List Paragraph,Foot,列出段落,列出段落1,List Paragraph2,List Paragraph21,Párrafo de lista1,Parágrafo da Lista1,リスト段落1,Listeafsnit1,lp1,Scitum normal,NORMAL,Elabora,Ha"/>
    <w:basedOn w:val="Normal"/>
    <w:link w:val="PrrafodelistaCar"/>
    <w:uiPriority w:val="34"/>
    <w:qFormat/>
    <w:rsid w:val="00E17415"/>
    <w:pPr>
      <w:ind w:left="720"/>
      <w:contextualSpacing/>
    </w:pPr>
  </w:style>
  <w:style w:type="character" w:styleId="nfasisintenso">
    <w:name w:val="Intense Emphasis"/>
    <w:basedOn w:val="Fuentedeprrafopredeter"/>
    <w:uiPriority w:val="21"/>
    <w:qFormat/>
    <w:rsid w:val="00E17415"/>
    <w:rPr>
      <w:i/>
      <w:iCs/>
      <w:color w:val="0F4761" w:themeColor="accent1" w:themeShade="BF"/>
    </w:rPr>
  </w:style>
  <w:style w:type="paragraph" w:styleId="Citadestacada">
    <w:name w:val="Intense Quote"/>
    <w:basedOn w:val="Normal"/>
    <w:next w:val="Normal"/>
    <w:link w:val="CitadestacadaCar"/>
    <w:uiPriority w:val="30"/>
    <w:qFormat/>
    <w:rsid w:val="00E174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17415"/>
    <w:rPr>
      <w:i/>
      <w:iCs/>
      <w:color w:val="0F4761" w:themeColor="accent1" w:themeShade="BF"/>
    </w:rPr>
  </w:style>
  <w:style w:type="character" w:styleId="Referenciaintensa">
    <w:name w:val="Intense Reference"/>
    <w:basedOn w:val="Fuentedeprrafopredeter"/>
    <w:uiPriority w:val="32"/>
    <w:qFormat/>
    <w:rsid w:val="00E17415"/>
    <w:rPr>
      <w:b/>
      <w:bCs/>
      <w:smallCaps/>
      <w:color w:val="0F4761" w:themeColor="accent1" w:themeShade="BF"/>
      <w:spacing w:val="5"/>
    </w:rPr>
  </w:style>
  <w:style w:type="character" w:styleId="Nmerodepgina">
    <w:name w:val="page number"/>
    <w:basedOn w:val="Fuentedeprrafopredeter"/>
    <w:rsid w:val="00E17415"/>
  </w:style>
  <w:style w:type="paragraph" w:styleId="Encabezado">
    <w:name w:val="header"/>
    <w:aliases w:val="Car, Car,h,h8,h9,h10,h18"/>
    <w:basedOn w:val="Normal"/>
    <w:link w:val="EncabezadoCar"/>
    <w:uiPriority w:val="99"/>
    <w:rsid w:val="00E17415"/>
    <w:pPr>
      <w:tabs>
        <w:tab w:val="center" w:pos="4320"/>
        <w:tab w:val="right" w:pos="8640"/>
      </w:tabs>
      <w:jc w:val="both"/>
    </w:pPr>
    <w:rPr>
      <w:sz w:val="20"/>
      <w:szCs w:val="20"/>
      <w:lang w:val="es-ES_tradnl"/>
    </w:rPr>
  </w:style>
  <w:style w:type="character" w:customStyle="1" w:styleId="EncabezadoCar">
    <w:name w:val="Encabezado Car"/>
    <w:aliases w:val="Car Car, Car Car,h Car,h8 Car,h9 Car,h10 Car,h18 Car"/>
    <w:basedOn w:val="Fuentedeprrafopredeter"/>
    <w:link w:val="Encabezado"/>
    <w:uiPriority w:val="99"/>
    <w:rsid w:val="00E17415"/>
    <w:rPr>
      <w:rFonts w:ascii="Arial" w:eastAsia="Times New Roman" w:hAnsi="Arial" w:cs="Times New Roman"/>
      <w:kern w:val="0"/>
      <w:sz w:val="20"/>
      <w:szCs w:val="20"/>
      <w:lang w:val="es-ES_tradnl" w:eastAsia="es-ES"/>
      <w14:ligatures w14:val="none"/>
    </w:rPr>
  </w:style>
  <w:style w:type="paragraph" w:styleId="Piedepgina">
    <w:name w:val="footer"/>
    <w:basedOn w:val="Normal"/>
    <w:link w:val="PiedepginaCar"/>
    <w:rsid w:val="00E17415"/>
    <w:pPr>
      <w:tabs>
        <w:tab w:val="center" w:pos="4320"/>
        <w:tab w:val="right" w:pos="8640"/>
      </w:tabs>
      <w:jc w:val="both"/>
    </w:pPr>
    <w:rPr>
      <w:sz w:val="20"/>
      <w:szCs w:val="20"/>
      <w:lang w:val="es-ES_tradnl"/>
    </w:rPr>
  </w:style>
  <w:style w:type="character" w:customStyle="1" w:styleId="PiedepginaCar">
    <w:name w:val="Pie de página Car"/>
    <w:basedOn w:val="Fuentedeprrafopredeter"/>
    <w:link w:val="Piedepgina"/>
    <w:rsid w:val="00E17415"/>
    <w:rPr>
      <w:rFonts w:ascii="Arial" w:eastAsia="Times New Roman" w:hAnsi="Arial" w:cs="Times New Roman"/>
      <w:kern w:val="0"/>
      <w:sz w:val="20"/>
      <w:szCs w:val="20"/>
      <w:lang w:val="es-ES_tradnl" w:eastAsia="es-ES"/>
      <w14:ligatures w14:val="none"/>
    </w:rPr>
  </w:style>
  <w:style w:type="character" w:customStyle="1" w:styleId="PrrafodelistaCar">
    <w:name w:val="Párrafo de lista Car"/>
    <w:aliases w:val="Bullet List Car,FooterText Car,List Paragraph1 Car,numbered Car,Paragraphe de liste1 Car,Bulletr List Paragraph Car,Foot Car,列出段落 Car,列出段落1 Car,List Paragraph2 Car,List Paragraph21 Car,Párrafo de lista1 Car,Parágrafo da Lista1 Car"/>
    <w:link w:val="Prrafodelista"/>
    <w:uiPriority w:val="34"/>
    <w:qFormat/>
    <w:locked/>
    <w:rsid w:val="00E17415"/>
  </w:style>
  <w:style w:type="character" w:styleId="Refdecomentario">
    <w:name w:val="annotation reference"/>
    <w:basedOn w:val="Fuentedeprrafopredeter"/>
    <w:uiPriority w:val="99"/>
    <w:unhideWhenUsed/>
    <w:rsid w:val="00E17415"/>
    <w:rPr>
      <w:sz w:val="16"/>
      <w:szCs w:val="16"/>
    </w:rPr>
  </w:style>
  <w:style w:type="paragraph" w:customStyle="1" w:styleId="Invias-VietaAlfabetica">
    <w:name w:val="Invias-Viñeta Alfabetica"/>
    <w:next w:val="Normal"/>
    <w:uiPriority w:val="99"/>
    <w:qFormat/>
    <w:rsid w:val="00E17415"/>
    <w:pPr>
      <w:numPr>
        <w:numId w:val="2"/>
      </w:numPr>
      <w:spacing w:before="240" w:after="240" w:line="240" w:lineRule="auto"/>
      <w:jc w:val="both"/>
    </w:pPr>
    <w:rPr>
      <w:rFonts w:ascii="Arial Narrow" w:eastAsia="Times New Roman" w:hAnsi="Arial Narrow" w:cs="Times New Roman"/>
      <w:kern w:val="0"/>
      <w:lang w:eastAsia="es-ES"/>
      <w14:ligatures w14:val="none"/>
    </w:rPr>
  </w:style>
  <w:style w:type="paragraph" w:customStyle="1" w:styleId="Captulo9">
    <w:name w:val="Capítulo 9"/>
    <w:basedOn w:val="Normal"/>
    <w:qFormat/>
    <w:rsid w:val="00E17415"/>
    <w:pPr>
      <w:numPr>
        <w:numId w:val="3"/>
      </w:numPr>
      <w:spacing w:after="200" w:line="276" w:lineRule="auto"/>
      <w:contextualSpacing/>
    </w:pPr>
    <w:rPr>
      <w:rFonts w:eastAsia="Calibri" w:cs="Arial"/>
      <w:b/>
      <w:bCs/>
      <w:color w:val="3A3A3A" w:themeColor="background2" w:themeShade="40"/>
      <w:sz w:val="20"/>
      <w:szCs w:val="20"/>
      <w:lang w:val="es-CO" w:eastAsia="en-US"/>
    </w:rPr>
  </w:style>
  <w:style w:type="paragraph" w:styleId="Textocomentario">
    <w:name w:val="annotation text"/>
    <w:basedOn w:val="Normal"/>
    <w:link w:val="TextocomentarioCar"/>
    <w:uiPriority w:val="99"/>
    <w:unhideWhenUsed/>
    <w:rsid w:val="00E17415"/>
    <w:rPr>
      <w:sz w:val="20"/>
      <w:szCs w:val="20"/>
    </w:rPr>
  </w:style>
  <w:style w:type="character" w:customStyle="1" w:styleId="TextocomentarioCar">
    <w:name w:val="Texto comentario Car"/>
    <w:basedOn w:val="Fuentedeprrafopredeter"/>
    <w:link w:val="Textocomentario"/>
    <w:uiPriority w:val="99"/>
    <w:rsid w:val="00E17415"/>
    <w:rPr>
      <w:rFonts w:ascii="Arial" w:eastAsia="Times New Roman" w:hAnsi="Arial" w:cs="Times New Roman"/>
      <w:kern w:val="0"/>
      <w:sz w:val="20"/>
      <w:szCs w:val="20"/>
      <w:lang w:val="es-ES" w:eastAsia="es-ES"/>
      <w14:ligatures w14:val="none"/>
    </w:rPr>
  </w:style>
  <w:style w:type="paragraph" w:styleId="Revisin">
    <w:name w:val="Revision"/>
    <w:hidden/>
    <w:uiPriority w:val="99"/>
    <w:semiHidden/>
    <w:rsid w:val="004B26DB"/>
    <w:pPr>
      <w:spacing w:after="0" w:line="240" w:lineRule="auto"/>
    </w:pPr>
    <w:rPr>
      <w:rFonts w:ascii="Arial" w:eastAsia="Times New Roman" w:hAnsi="Arial" w:cs="Times New Roman"/>
      <w:kern w:val="0"/>
      <w:lang w:val="es-ES" w:eastAsia="es-ES"/>
      <w14:ligatures w14:val="none"/>
    </w:rPr>
  </w:style>
  <w:style w:type="paragraph" w:styleId="Asuntodelcomentario">
    <w:name w:val="annotation subject"/>
    <w:basedOn w:val="Textocomentario"/>
    <w:next w:val="Textocomentario"/>
    <w:link w:val="AsuntodelcomentarioCar"/>
    <w:uiPriority w:val="99"/>
    <w:semiHidden/>
    <w:unhideWhenUsed/>
    <w:rsid w:val="003D024C"/>
    <w:rPr>
      <w:b/>
      <w:bCs/>
    </w:rPr>
  </w:style>
  <w:style w:type="character" w:customStyle="1" w:styleId="AsuntodelcomentarioCar">
    <w:name w:val="Asunto del comentario Car"/>
    <w:basedOn w:val="TextocomentarioCar"/>
    <w:link w:val="Asuntodelcomentario"/>
    <w:uiPriority w:val="99"/>
    <w:semiHidden/>
    <w:rsid w:val="003D024C"/>
    <w:rPr>
      <w:rFonts w:ascii="Arial" w:eastAsia="Times New Roman" w:hAnsi="Arial" w:cs="Times New Roman"/>
      <w:b/>
      <w:bCs/>
      <w:kern w:val="0"/>
      <w:sz w:val="20"/>
      <w:szCs w:val="20"/>
      <w:lang w:val="es-ES" w:eastAsia="es-ES"/>
      <w14:ligatures w14:val="none"/>
    </w:rPr>
  </w:style>
  <w:style w:type="character" w:styleId="Mencionar">
    <w:name w:val="Mention"/>
    <w:basedOn w:val="Fuentedeprrafopredeter"/>
    <w:uiPriority w:val="99"/>
    <w:unhideWhenUsed/>
    <w:rsid w:val="0041281F"/>
    <w:rPr>
      <w:color w:val="2B579A"/>
      <w:shd w:val="clear" w:color="auto" w:fill="E1DFDD"/>
    </w:rPr>
  </w:style>
  <w:style w:type="table" w:styleId="Tablaconcuadrcula">
    <w:name w:val="Table Grid"/>
    <w:basedOn w:val="Tablanormal"/>
    <w:uiPriority w:val="39"/>
    <w:qFormat/>
    <w:rsid w:val="007A6C0A"/>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_Flow_SignoffStatus xmlns="9d85dbaf-23eb-4e57-a637-93dcacc8b1a1" xsi:nil="true"/>
    <lcf76f155ced4ddcb4097134ff3c332f xmlns="9d85dbaf-23eb-4e57-a637-93dcacc8b1a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56A70F-349E-4DC4-8F97-F9FA12873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381AF2-3BBF-402E-8718-381363E7D76C}">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DF6694EA-E45E-4968-B1F0-C392A3A1516A}">
  <ds:schemaRefs>
    <ds:schemaRef ds:uri="http://schemas.openxmlformats.org/officeDocument/2006/bibliography"/>
  </ds:schemaRefs>
</ds:datastoreItem>
</file>

<file path=customXml/itemProps4.xml><?xml version="1.0" encoding="utf-8"?>
<ds:datastoreItem xmlns:ds="http://schemas.openxmlformats.org/officeDocument/2006/customXml" ds:itemID="{07FE8E3D-64DF-4FD0-B869-8F1C6ADF3E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7</Pages>
  <Words>3011</Words>
  <Characters>16566</Characters>
  <Application>Microsoft Office Word</Application>
  <DocSecurity>0</DocSecurity>
  <Lines>138</Lines>
  <Paragraphs>39</Paragraphs>
  <ScaleCrop>false</ScaleCrop>
  <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Mario Castrillón Endo</dc:creator>
  <cp:keywords/>
  <dc:description/>
  <cp:lastModifiedBy>Adriana Lopez Rodriguez</cp:lastModifiedBy>
  <cp:revision>201</cp:revision>
  <dcterms:created xsi:type="dcterms:W3CDTF">2025-02-17T19:26:00Z</dcterms:created>
  <dcterms:modified xsi:type="dcterms:W3CDTF">2025-09-11T21:16:00Z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